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fr-FR" w:eastAsia="en-GB"/>
        </w:rPr>
      </w:pPr>
      <w:bookmarkStart w:id="0" w:name="_GoBack"/>
      <w:bookmarkEnd w:id="0"/>
      <w:r w:rsidRPr="00D32221">
        <w:rPr>
          <w:rFonts w:eastAsia="Times New Roman" w:cstheme="minorHAnsi"/>
          <w:b/>
          <w:sz w:val="24"/>
          <w:szCs w:val="24"/>
          <w:lang w:val="fr-FR" w:eastAsia="en-GB"/>
        </w:rPr>
        <w:t>Pol</w:t>
      </w:r>
      <w:r w:rsidR="00235A10">
        <w:rPr>
          <w:rFonts w:eastAsia="Times New Roman" w:cstheme="minorHAnsi"/>
          <w:b/>
          <w:sz w:val="24"/>
          <w:szCs w:val="24"/>
          <w:lang w:val="fr-FR" w:eastAsia="en-GB"/>
        </w:rPr>
        <w:t>itique de CARE sur l'égalité de genre</w:t>
      </w:r>
    </w:p>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en-GB"/>
        </w:rPr>
      </w:pPr>
      <w:r w:rsidRPr="00D32221">
        <w:rPr>
          <w:rFonts w:eastAsia="Times New Roman" w:cstheme="minorHAnsi"/>
          <w:b/>
          <w:lang w:val="fr-FR" w:eastAsia="en-GB"/>
        </w:rPr>
        <w:t>Mai 2018</w:t>
      </w:r>
    </w:p>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en-GB"/>
        </w:rPr>
      </w:pPr>
    </w:p>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en-GB"/>
        </w:rPr>
      </w:pPr>
      <w:r w:rsidRPr="00D32221">
        <w:rPr>
          <w:rFonts w:eastAsia="Times New Roman" w:cstheme="minorHAnsi"/>
          <w:b/>
          <w:lang w:val="fr-FR" w:eastAsia="en-GB"/>
        </w:rPr>
        <w:t>Annexe 2</w:t>
      </w:r>
      <w:r w:rsidR="00743265" w:rsidRPr="00D32221">
        <w:rPr>
          <w:rFonts w:eastAsia="Times New Roman" w:cstheme="minorHAnsi"/>
          <w:b/>
          <w:lang w:val="fr-FR" w:eastAsia="en-GB"/>
        </w:rPr>
        <w:t xml:space="preserve"> </w:t>
      </w:r>
      <w:r w:rsidRPr="00D32221">
        <w:rPr>
          <w:rFonts w:eastAsia="Times New Roman" w:cstheme="minorHAnsi"/>
          <w:b/>
          <w:lang w:val="fr-FR" w:eastAsia="en-GB"/>
        </w:rPr>
        <w:t>: Re</w:t>
      </w:r>
      <w:r w:rsidR="00743265" w:rsidRPr="00D32221">
        <w:rPr>
          <w:rFonts w:eastAsia="Times New Roman" w:cstheme="minorHAnsi"/>
          <w:b/>
          <w:lang w:val="fr-FR" w:eastAsia="en-GB"/>
        </w:rPr>
        <w:t xml:space="preserve">devabilité </w:t>
      </w:r>
      <w:r w:rsidRPr="00D32221">
        <w:rPr>
          <w:rFonts w:eastAsia="Times New Roman" w:cstheme="minorHAnsi"/>
          <w:b/>
          <w:lang w:val="fr-FR" w:eastAsia="en-GB"/>
        </w:rPr>
        <w:t>et information</w:t>
      </w:r>
    </w:p>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en-GB"/>
        </w:rPr>
      </w:pPr>
    </w:p>
    <w:p w:rsidR="004D69AC" w:rsidRPr="00D32221" w:rsidRDefault="00743265"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en-GB"/>
        </w:rPr>
      </w:pPr>
      <w:r w:rsidRPr="00D32221">
        <w:rPr>
          <w:rFonts w:eastAsia="Times New Roman" w:cstheme="minorHAnsi"/>
          <w:lang w:val="fr-FR" w:eastAsia="en-GB"/>
        </w:rPr>
        <w:t xml:space="preserve">Comme </w:t>
      </w:r>
      <w:r w:rsidR="004D69AC" w:rsidRPr="00D32221">
        <w:rPr>
          <w:rFonts w:eastAsia="Times New Roman" w:cstheme="minorHAnsi"/>
          <w:lang w:val="fr-FR" w:eastAsia="en-GB"/>
        </w:rPr>
        <w:t xml:space="preserve">décrit dans la politique, les membres de CARE, affiliés et candidats veillent </w:t>
      </w:r>
      <w:r w:rsidRPr="00D32221">
        <w:rPr>
          <w:rFonts w:eastAsia="Times New Roman" w:cstheme="minorHAnsi"/>
          <w:lang w:val="fr-FR" w:eastAsia="en-GB"/>
        </w:rPr>
        <w:t xml:space="preserve">pour que </w:t>
      </w:r>
      <w:r w:rsidR="004D69AC" w:rsidRPr="00D32221">
        <w:rPr>
          <w:rFonts w:eastAsia="Times New Roman" w:cstheme="minorHAnsi"/>
          <w:lang w:val="fr-FR" w:eastAsia="en-GB"/>
        </w:rPr>
        <w:t xml:space="preserve">cette politique </w:t>
      </w:r>
      <w:r w:rsidR="00235A10">
        <w:rPr>
          <w:rFonts w:eastAsia="Times New Roman" w:cstheme="minorHAnsi"/>
          <w:lang w:val="fr-FR" w:eastAsia="en-GB"/>
        </w:rPr>
        <w:t xml:space="preserve">soit </w:t>
      </w:r>
      <w:r w:rsidR="004D69AC" w:rsidRPr="00D32221">
        <w:rPr>
          <w:rFonts w:eastAsia="Times New Roman" w:cstheme="minorHAnsi"/>
          <w:lang w:val="fr-FR" w:eastAsia="en-GB"/>
        </w:rPr>
        <w:t xml:space="preserve">mise en œuvre, le suivi et </w:t>
      </w:r>
      <w:r w:rsidR="00235A10">
        <w:rPr>
          <w:rFonts w:eastAsia="Times New Roman" w:cstheme="minorHAnsi"/>
          <w:lang w:val="fr-FR" w:eastAsia="en-GB"/>
        </w:rPr>
        <w:t>l</w:t>
      </w:r>
      <w:r w:rsidRPr="00D32221">
        <w:rPr>
          <w:rFonts w:eastAsia="Times New Roman" w:cstheme="minorHAnsi"/>
          <w:lang w:val="fr-FR" w:eastAsia="en-GB"/>
        </w:rPr>
        <w:t xml:space="preserve">es </w:t>
      </w:r>
      <w:r w:rsidR="004D69AC" w:rsidRPr="00D32221">
        <w:rPr>
          <w:rFonts w:eastAsia="Times New Roman" w:cstheme="minorHAnsi"/>
          <w:lang w:val="fr-FR" w:eastAsia="en-GB"/>
        </w:rPr>
        <w:t>rapport</w:t>
      </w:r>
      <w:r w:rsidRPr="00D32221">
        <w:rPr>
          <w:rFonts w:eastAsia="Times New Roman" w:cstheme="minorHAnsi"/>
          <w:lang w:val="fr-FR" w:eastAsia="en-GB"/>
        </w:rPr>
        <w:t>s</w:t>
      </w:r>
      <w:r w:rsidR="004D69AC" w:rsidRPr="00D32221">
        <w:rPr>
          <w:rFonts w:eastAsia="Times New Roman" w:cstheme="minorHAnsi"/>
          <w:lang w:val="fr-FR" w:eastAsia="en-GB"/>
        </w:rPr>
        <w:t xml:space="preserve"> </w:t>
      </w:r>
      <w:r w:rsidR="00235A10">
        <w:rPr>
          <w:rFonts w:eastAsia="Times New Roman" w:cstheme="minorHAnsi"/>
          <w:lang w:val="fr-FR" w:eastAsia="en-GB"/>
        </w:rPr>
        <w:t xml:space="preserve">soient soumis </w:t>
      </w:r>
      <w:r w:rsidR="004D69AC" w:rsidRPr="00D32221">
        <w:rPr>
          <w:rFonts w:eastAsia="Times New Roman" w:cstheme="minorHAnsi"/>
          <w:lang w:val="fr-FR" w:eastAsia="en-GB"/>
        </w:rPr>
        <w:t>t</w:t>
      </w:r>
      <w:r w:rsidRPr="00D32221">
        <w:rPr>
          <w:rFonts w:eastAsia="Times New Roman" w:cstheme="minorHAnsi"/>
          <w:lang w:val="fr-FR" w:eastAsia="en-GB"/>
        </w:rPr>
        <w:t>ous les deux ans au Comité des Directeurs N</w:t>
      </w:r>
      <w:r w:rsidR="004D69AC" w:rsidRPr="00D32221">
        <w:rPr>
          <w:rFonts w:eastAsia="Times New Roman" w:cstheme="minorHAnsi"/>
          <w:lang w:val="fr-FR" w:eastAsia="en-GB"/>
        </w:rPr>
        <w:t>ationaux. Les membres  supervis</w:t>
      </w:r>
      <w:r w:rsidR="00235A10">
        <w:rPr>
          <w:rFonts w:eastAsia="Times New Roman" w:cstheme="minorHAnsi"/>
          <w:lang w:val="fr-FR" w:eastAsia="en-GB"/>
        </w:rPr>
        <w:t>ant</w:t>
      </w:r>
      <w:r w:rsidR="004D69AC" w:rsidRPr="00D32221">
        <w:rPr>
          <w:rFonts w:eastAsia="Times New Roman" w:cstheme="minorHAnsi"/>
          <w:lang w:val="fr-FR" w:eastAsia="en-GB"/>
        </w:rPr>
        <w:t xml:space="preserve"> les bureaux  pays garantiront les rapports.</w:t>
      </w:r>
    </w:p>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en-GB"/>
        </w:rPr>
      </w:pPr>
    </w:p>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en-GB"/>
        </w:rPr>
      </w:pPr>
      <w:r w:rsidRPr="00D32221">
        <w:rPr>
          <w:rFonts w:eastAsia="Times New Roman" w:cstheme="minorHAnsi"/>
          <w:lang w:val="fr-FR" w:eastAsia="en-GB"/>
        </w:rPr>
        <w:t>Le tableau suivant fournit une liste de sources de données et d'indicateurs pour l</w:t>
      </w:r>
      <w:r w:rsidR="00235A10">
        <w:rPr>
          <w:rFonts w:eastAsia="Times New Roman" w:cstheme="minorHAnsi"/>
          <w:lang w:val="fr-FR" w:eastAsia="en-GB"/>
        </w:rPr>
        <w:t>’élaboration</w:t>
      </w:r>
      <w:r w:rsidRPr="00D32221">
        <w:rPr>
          <w:rFonts w:eastAsia="Times New Roman" w:cstheme="minorHAnsi"/>
          <w:lang w:val="fr-FR" w:eastAsia="en-GB"/>
        </w:rPr>
        <w:t xml:space="preserve"> de</w:t>
      </w:r>
      <w:r w:rsidR="00743265" w:rsidRPr="00D32221">
        <w:rPr>
          <w:rFonts w:eastAsia="Times New Roman" w:cstheme="minorHAnsi"/>
          <w:lang w:val="fr-FR" w:eastAsia="en-GB"/>
        </w:rPr>
        <w:t>s</w:t>
      </w:r>
      <w:r w:rsidRPr="00D32221">
        <w:rPr>
          <w:rFonts w:eastAsia="Times New Roman" w:cstheme="minorHAnsi"/>
          <w:lang w:val="fr-FR" w:eastAsia="en-GB"/>
        </w:rPr>
        <w:t xml:space="preserve"> rapports. Il est possible de rendre compte de la plupart des indicateurs basés sur des sources existantes. </w:t>
      </w:r>
      <w:r w:rsidR="00235A10">
        <w:rPr>
          <w:rFonts w:eastAsia="Times New Roman" w:cstheme="minorHAnsi"/>
          <w:lang w:val="fr-FR" w:eastAsia="en-GB"/>
        </w:rPr>
        <w:t xml:space="preserve"> S’il n’y </w:t>
      </w:r>
      <w:r w:rsidRPr="00D32221">
        <w:rPr>
          <w:rFonts w:eastAsia="Times New Roman" w:cstheme="minorHAnsi"/>
          <w:lang w:val="fr-FR" w:eastAsia="en-GB"/>
        </w:rPr>
        <w:t>en a pas, cela</w:t>
      </w:r>
      <w:r w:rsidR="00235A10">
        <w:rPr>
          <w:rFonts w:eastAsia="Times New Roman" w:cstheme="minorHAnsi"/>
          <w:lang w:val="fr-FR" w:eastAsia="en-GB"/>
        </w:rPr>
        <w:t xml:space="preserve"> sera mis </w:t>
      </w:r>
      <w:r w:rsidRPr="00D32221">
        <w:rPr>
          <w:rFonts w:eastAsia="Times New Roman" w:cstheme="minorHAnsi"/>
          <w:lang w:val="fr-FR" w:eastAsia="en-GB"/>
        </w:rPr>
        <w:t xml:space="preserve"> en évidence. Avant la prochaine révision de la politique, nous veillerons </w:t>
      </w:r>
      <w:r w:rsidR="00235A10">
        <w:rPr>
          <w:rFonts w:eastAsia="Times New Roman" w:cstheme="minorHAnsi"/>
          <w:lang w:val="fr-FR" w:eastAsia="en-GB"/>
        </w:rPr>
        <w:t xml:space="preserve">à </w:t>
      </w:r>
      <w:r w:rsidRPr="00D32221">
        <w:rPr>
          <w:rFonts w:eastAsia="Times New Roman" w:cstheme="minorHAnsi"/>
          <w:lang w:val="fr-FR" w:eastAsia="en-GB"/>
        </w:rPr>
        <w:t xml:space="preserve">que les sources soient identifiées et mises à jour. Cet objectif sera atteint </w:t>
      </w:r>
      <w:r w:rsidR="00743265" w:rsidRPr="00D32221">
        <w:rPr>
          <w:rFonts w:eastAsia="Times New Roman" w:cstheme="minorHAnsi"/>
          <w:lang w:val="fr-FR" w:eastAsia="en-GB"/>
        </w:rPr>
        <w:t>par l'intégration des</w:t>
      </w:r>
      <w:r w:rsidRPr="00D32221">
        <w:rPr>
          <w:rFonts w:eastAsia="Times New Roman" w:cstheme="minorHAnsi"/>
          <w:lang w:val="fr-FR" w:eastAsia="en-GB"/>
        </w:rPr>
        <w:t xml:space="preserve"> indicateurs aux systèmes de données existants, tels que PIIRS, les règles de présence dans les pays</w:t>
      </w:r>
      <w:r w:rsidR="00743265" w:rsidRPr="00D32221">
        <w:rPr>
          <w:rFonts w:eastAsia="Times New Roman" w:cstheme="minorHAnsi"/>
          <w:lang w:val="fr-FR" w:eastAsia="en-GB"/>
        </w:rPr>
        <w:t xml:space="preserve">, les </w:t>
      </w:r>
      <w:r w:rsidRPr="00D32221">
        <w:rPr>
          <w:rFonts w:eastAsia="Times New Roman" w:cstheme="minorHAnsi"/>
          <w:lang w:val="fr-FR" w:eastAsia="en-GB"/>
        </w:rPr>
        <w:t>évaluation</w:t>
      </w:r>
      <w:r w:rsidR="00743265" w:rsidRPr="00D32221">
        <w:rPr>
          <w:rFonts w:eastAsia="Times New Roman" w:cstheme="minorHAnsi"/>
          <w:lang w:val="fr-FR" w:eastAsia="en-GB"/>
        </w:rPr>
        <w:t xml:space="preserve">s, etc. </w:t>
      </w:r>
    </w:p>
    <w:p w:rsidR="004D69AC" w:rsidRPr="00D32221" w:rsidRDefault="004D69AC"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en-GB"/>
        </w:rPr>
      </w:pPr>
    </w:p>
    <w:p w:rsidR="00341167" w:rsidRPr="00D32221" w:rsidRDefault="00A8507B"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en-GB"/>
        </w:rPr>
      </w:pPr>
      <w:r w:rsidRPr="00D32221">
        <w:rPr>
          <w:rFonts w:eastAsia="Times New Roman" w:cstheme="minorHAnsi"/>
          <w:lang w:val="fr-FR" w:eastAsia="en-GB"/>
        </w:rPr>
        <w:t>Les d</w:t>
      </w:r>
      <w:r w:rsidR="004D69AC" w:rsidRPr="00D32221">
        <w:rPr>
          <w:rFonts w:eastAsia="Times New Roman" w:cstheme="minorHAnsi"/>
          <w:lang w:val="fr-FR" w:eastAsia="en-GB"/>
        </w:rPr>
        <w:t xml:space="preserve">irecteurs nationaux veillent </w:t>
      </w:r>
      <w:r w:rsidR="00743265" w:rsidRPr="00D32221">
        <w:rPr>
          <w:rFonts w:eastAsia="Times New Roman" w:cstheme="minorHAnsi"/>
          <w:lang w:val="fr-FR" w:eastAsia="en-GB"/>
        </w:rPr>
        <w:t>pour que l</w:t>
      </w:r>
      <w:r w:rsidR="004D69AC" w:rsidRPr="00D32221">
        <w:rPr>
          <w:rFonts w:eastAsia="Times New Roman" w:cstheme="minorHAnsi"/>
          <w:lang w:val="fr-FR" w:eastAsia="en-GB"/>
        </w:rPr>
        <w:t>es données ci-dessous sont collectées et envoyées au Secrétariat de CARE international tous les deux ans. Le Secrétariat appuiera la collecte et l'analyse des données à inclure dans l</w:t>
      </w:r>
      <w:r w:rsidR="00743265" w:rsidRPr="00D32221">
        <w:rPr>
          <w:rFonts w:eastAsia="Times New Roman" w:cstheme="minorHAnsi"/>
          <w:lang w:val="fr-FR" w:eastAsia="en-GB"/>
        </w:rPr>
        <w:t xml:space="preserve">es </w:t>
      </w:r>
      <w:r w:rsidR="004D69AC" w:rsidRPr="00D32221">
        <w:rPr>
          <w:rFonts w:eastAsia="Times New Roman" w:cstheme="minorHAnsi"/>
          <w:lang w:val="fr-FR" w:eastAsia="en-GB"/>
        </w:rPr>
        <w:t>rapports</w:t>
      </w:r>
      <w:r w:rsidR="00743265" w:rsidRPr="00D32221">
        <w:rPr>
          <w:rFonts w:eastAsia="Times New Roman" w:cstheme="minorHAnsi"/>
          <w:lang w:val="fr-FR" w:eastAsia="en-GB"/>
        </w:rPr>
        <w:t xml:space="preserve"> de redevabilité</w:t>
      </w:r>
      <w:r w:rsidR="004D69AC" w:rsidRPr="00D32221">
        <w:rPr>
          <w:rFonts w:eastAsia="Times New Roman" w:cstheme="minorHAnsi"/>
          <w:lang w:val="fr-FR" w:eastAsia="en-GB"/>
        </w:rPr>
        <w:t>.</w:t>
      </w:r>
    </w:p>
    <w:p w:rsidR="00D459CB" w:rsidRPr="00D32221" w:rsidRDefault="00D459CB" w:rsidP="004D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en-GB"/>
        </w:rPr>
      </w:pPr>
    </w:p>
    <w:tbl>
      <w:tblPr>
        <w:tblStyle w:val="TableGrid"/>
        <w:tblW w:w="0" w:type="auto"/>
        <w:tblLook w:val="04A0" w:firstRow="1" w:lastRow="0" w:firstColumn="1" w:lastColumn="0" w:noHBand="0" w:noVBand="1"/>
      </w:tblPr>
      <w:tblGrid>
        <w:gridCol w:w="4390"/>
        <w:gridCol w:w="2268"/>
        <w:gridCol w:w="7229"/>
      </w:tblGrid>
      <w:tr w:rsidR="00341167" w:rsidRPr="00D32221" w:rsidTr="00743265">
        <w:tc>
          <w:tcPr>
            <w:tcW w:w="4390" w:type="dxa"/>
            <w:shd w:val="clear" w:color="auto" w:fill="FFE599" w:themeFill="accent4" w:themeFillTint="66"/>
          </w:tcPr>
          <w:p w:rsidR="00341167" w:rsidRPr="00D32221" w:rsidRDefault="004D69AC" w:rsidP="00743265">
            <w:pPr>
              <w:rPr>
                <w:rFonts w:cstheme="minorHAnsi"/>
                <w:b/>
                <w:lang w:val="fr-FR"/>
              </w:rPr>
            </w:pPr>
            <w:r w:rsidRPr="00D32221">
              <w:rPr>
                <w:rFonts w:cstheme="minorHAnsi"/>
                <w:b/>
                <w:lang w:val="fr-FR"/>
              </w:rPr>
              <w:t>Engagement</w:t>
            </w:r>
          </w:p>
        </w:tc>
        <w:tc>
          <w:tcPr>
            <w:tcW w:w="2268" w:type="dxa"/>
            <w:shd w:val="clear" w:color="auto" w:fill="FFE599" w:themeFill="accent4" w:themeFillTint="66"/>
          </w:tcPr>
          <w:p w:rsidR="00341167" w:rsidRPr="00D32221" w:rsidRDefault="004D69AC" w:rsidP="00341167">
            <w:pPr>
              <w:rPr>
                <w:rFonts w:cstheme="minorHAnsi"/>
                <w:b/>
                <w:lang w:val="fr-FR"/>
              </w:rPr>
            </w:pPr>
            <w:r w:rsidRPr="00D32221">
              <w:rPr>
                <w:rFonts w:cstheme="minorHAnsi"/>
                <w:b/>
                <w:lang w:val="fr-FR"/>
              </w:rPr>
              <w:t>Source de données</w:t>
            </w:r>
          </w:p>
        </w:tc>
        <w:tc>
          <w:tcPr>
            <w:tcW w:w="7229" w:type="dxa"/>
            <w:shd w:val="clear" w:color="auto" w:fill="FFE599" w:themeFill="accent4" w:themeFillTint="66"/>
          </w:tcPr>
          <w:p w:rsidR="00341167" w:rsidRPr="00D32221" w:rsidRDefault="004D69AC" w:rsidP="00743265">
            <w:pPr>
              <w:rPr>
                <w:rFonts w:cstheme="minorHAnsi"/>
                <w:b/>
                <w:lang w:val="fr-FR"/>
              </w:rPr>
            </w:pPr>
            <w:r w:rsidRPr="00D32221">
              <w:rPr>
                <w:rFonts w:cstheme="minorHAnsi"/>
                <w:b/>
                <w:lang w:val="fr-FR"/>
              </w:rPr>
              <w:t>Indicateurs</w:t>
            </w:r>
          </w:p>
        </w:tc>
      </w:tr>
      <w:tr w:rsidR="00341167" w:rsidRPr="00137479" w:rsidTr="00743265">
        <w:tc>
          <w:tcPr>
            <w:tcW w:w="4390" w:type="dxa"/>
          </w:tcPr>
          <w:p w:rsidR="00341167" w:rsidRPr="00D32221" w:rsidRDefault="004D69AC" w:rsidP="004D69AC">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t>Intégrer des analyses participatives du genre et du pouvoir, ainsi que des données par sexe, âge et autres facteurs de diversité pertinents, pour guider les actions tout au long du cycle du programme.</w:t>
            </w:r>
          </w:p>
        </w:tc>
        <w:tc>
          <w:tcPr>
            <w:tcW w:w="2268" w:type="dxa"/>
          </w:tcPr>
          <w:p w:rsidR="009A643B" w:rsidRPr="00D32221" w:rsidRDefault="009A643B" w:rsidP="009A643B">
            <w:pPr>
              <w:rPr>
                <w:rFonts w:cstheme="minorHAnsi"/>
                <w:lang w:val="fr-FR"/>
              </w:rPr>
            </w:pPr>
            <w:r w:rsidRPr="00D32221">
              <w:rPr>
                <w:rFonts w:cstheme="minorHAnsi"/>
                <w:lang w:val="fr-FR"/>
              </w:rPr>
              <w:t>Marqueur de genre</w:t>
            </w:r>
          </w:p>
          <w:p w:rsidR="002A0B7A" w:rsidRPr="00D32221" w:rsidRDefault="009A643B" w:rsidP="009A643B">
            <w:pPr>
              <w:rPr>
                <w:rFonts w:cstheme="minorHAnsi"/>
                <w:lang w:val="fr-FR"/>
              </w:rPr>
            </w:pPr>
            <w:r w:rsidRPr="00D32221">
              <w:rPr>
                <w:rFonts w:cstheme="minorHAnsi"/>
                <w:lang w:val="fr-FR"/>
              </w:rPr>
              <w:t xml:space="preserve">PIIRS </w:t>
            </w:r>
          </w:p>
          <w:p w:rsidR="00341167" w:rsidRPr="00D32221" w:rsidRDefault="009A643B" w:rsidP="008A7751">
            <w:pPr>
              <w:rPr>
                <w:rFonts w:cstheme="minorHAnsi"/>
                <w:lang w:val="fr-FR"/>
              </w:rPr>
            </w:pPr>
            <w:r w:rsidRPr="00D32221">
              <w:rPr>
                <w:rFonts w:cstheme="minorHAnsi"/>
                <w:lang w:val="fr-FR"/>
              </w:rPr>
              <w:t>Normes CI de présence dans les pays</w:t>
            </w:r>
          </w:p>
        </w:tc>
        <w:tc>
          <w:tcPr>
            <w:tcW w:w="7229" w:type="dxa"/>
          </w:tcPr>
          <w:p w:rsidR="00A8507B" w:rsidRPr="00D32221" w:rsidRDefault="00A8507B" w:rsidP="00A8507B">
            <w:pPr>
              <w:rPr>
                <w:rFonts w:cstheme="minorHAnsi"/>
                <w:lang w:val="fr-FR"/>
              </w:rPr>
            </w:pPr>
            <w:r w:rsidRPr="00D32221">
              <w:rPr>
                <w:rFonts w:cstheme="minorHAnsi"/>
                <w:lang w:val="fr-FR"/>
              </w:rPr>
              <w:t>% de projets et d'initiatives ayant mené une analyse de genre</w:t>
            </w:r>
          </w:p>
          <w:p w:rsidR="00A8507B" w:rsidRPr="00D32221" w:rsidRDefault="00A8507B" w:rsidP="00A8507B">
            <w:pPr>
              <w:rPr>
                <w:rFonts w:cstheme="minorHAnsi"/>
                <w:lang w:val="fr-FR"/>
              </w:rPr>
            </w:pPr>
            <w:r w:rsidRPr="00D32221">
              <w:rPr>
                <w:rFonts w:cstheme="minorHAnsi"/>
                <w:lang w:val="fr-FR"/>
              </w:rPr>
              <w:t>% de projets et d'initiatives ayant une analyse de genre qualifiée « transformative »</w:t>
            </w:r>
          </w:p>
          <w:p w:rsidR="00A8507B" w:rsidRPr="00D32221" w:rsidRDefault="00A8507B" w:rsidP="00A8507B">
            <w:pPr>
              <w:rPr>
                <w:rFonts w:cstheme="minorHAnsi"/>
                <w:lang w:val="fr-FR"/>
              </w:rPr>
            </w:pPr>
            <w:r w:rsidRPr="00D32221">
              <w:rPr>
                <w:rFonts w:cstheme="minorHAnsi"/>
                <w:lang w:val="fr-FR"/>
              </w:rPr>
              <w:t xml:space="preserve">% de projets et d'initiatives qui ont </w:t>
            </w:r>
            <w:r w:rsidR="000E7093" w:rsidRPr="00D32221">
              <w:rPr>
                <w:rFonts w:cstheme="minorHAnsi"/>
                <w:lang w:val="fr-FR"/>
              </w:rPr>
              <w:t xml:space="preserve">des données </w:t>
            </w:r>
            <w:r w:rsidR="000E7093">
              <w:rPr>
                <w:rFonts w:cstheme="minorHAnsi"/>
                <w:lang w:val="fr-FR"/>
              </w:rPr>
              <w:t xml:space="preserve">classées </w:t>
            </w:r>
            <w:r w:rsidRPr="00D32221">
              <w:rPr>
                <w:rFonts w:cstheme="minorHAnsi"/>
                <w:lang w:val="fr-FR"/>
              </w:rPr>
              <w:t>par sexe</w:t>
            </w:r>
          </w:p>
          <w:p w:rsidR="00A8507B" w:rsidRPr="00D32221" w:rsidRDefault="00A8507B" w:rsidP="00A8507B">
            <w:pPr>
              <w:rPr>
                <w:rFonts w:cstheme="minorHAnsi"/>
                <w:lang w:val="fr-FR"/>
              </w:rPr>
            </w:pPr>
            <w:r w:rsidRPr="00D32221">
              <w:rPr>
                <w:rFonts w:cstheme="minorHAnsi"/>
                <w:lang w:val="fr-FR"/>
              </w:rPr>
              <w:t>% de bureaux CARE répondant au critère 6.i.</w:t>
            </w:r>
          </w:p>
          <w:p w:rsidR="00341167" w:rsidRPr="00335C50" w:rsidRDefault="00A8507B" w:rsidP="00A8507B">
            <w:pPr>
              <w:pStyle w:val="HTMLPreformatted"/>
              <w:rPr>
                <w:rFonts w:asciiTheme="minorHAnsi" w:hAnsiTheme="minorHAnsi" w:cstheme="minorHAnsi"/>
                <w:lang w:val="fr-FR"/>
              </w:rPr>
            </w:pPr>
            <w:r w:rsidRPr="00335C50">
              <w:rPr>
                <w:rFonts w:asciiTheme="minorHAnsi" w:hAnsiTheme="minorHAnsi" w:cstheme="minorHAnsi"/>
                <w:lang w:val="fr-FR"/>
              </w:rPr>
              <w:t>[6.i Le cadre de l'égalité des genres de CI est la base sur laquelle sont conçus tous les programmes et projets, à long terme et humanitaires. Tous les projets appliquent la politique de genre et le marqueur de genre.]</w:t>
            </w:r>
          </w:p>
        </w:tc>
      </w:tr>
      <w:tr w:rsidR="00341167" w:rsidRPr="00137479" w:rsidTr="00743265">
        <w:tc>
          <w:tcPr>
            <w:tcW w:w="4390" w:type="dxa"/>
          </w:tcPr>
          <w:p w:rsidR="00341167" w:rsidRPr="00D32221" w:rsidRDefault="004D69AC" w:rsidP="004D69AC">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t>Expliquer comment les programmes répondent aux trois éléments du cadre pour l’égalité des genres, et appliquer le marqueur de genre à chaque étape du cycle du programme, et améliorer ainsi l’impact transformat</w:t>
            </w:r>
            <w:r w:rsidR="00235A10">
              <w:rPr>
                <w:rFonts w:cstheme="minorHAnsi"/>
                <w:color w:val="212121"/>
                <w:sz w:val="22"/>
                <w:szCs w:val="22"/>
                <w:shd w:val="clear" w:color="auto" w:fill="FFFFFF"/>
                <w:lang w:val="fr-FR"/>
              </w:rPr>
              <w:t xml:space="preserve">if </w:t>
            </w:r>
            <w:r w:rsidRPr="00D32221">
              <w:rPr>
                <w:rFonts w:cstheme="minorHAnsi"/>
                <w:color w:val="212121"/>
                <w:sz w:val="22"/>
                <w:szCs w:val="22"/>
                <w:shd w:val="clear" w:color="auto" w:fill="FFFFFF"/>
                <w:lang w:val="fr-FR"/>
              </w:rPr>
              <w:t xml:space="preserve"> sur le genre.</w:t>
            </w:r>
          </w:p>
        </w:tc>
        <w:tc>
          <w:tcPr>
            <w:tcW w:w="2268" w:type="dxa"/>
          </w:tcPr>
          <w:p w:rsidR="009A643B" w:rsidRPr="00D32221" w:rsidRDefault="009A643B" w:rsidP="009A643B">
            <w:pPr>
              <w:rPr>
                <w:rFonts w:cstheme="minorHAnsi"/>
                <w:lang w:val="fr-FR"/>
              </w:rPr>
            </w:pPr>
            <w:r w:rsidRPr="00D32221">
              <w:rPr>
                <w:rFonts w:cstheme="minorHAnsi"/>
                <w:lang w:val="fr-FR"/>
              </w:rPr>
              <w:t>Marqueur de genre</w:t>
            </w:r>
          </w:p>
          <w:p w:rsidR="00341167" w:rsidRPr="00D32221" w:rsidRDefault="009A643B" w:rsidP="009A643B">
            <w:pPr>
              <w:rPr>
                <w:rFonts w:cstheme="minorHAnsi"/>
                <w:lang w:val="fr-FR"/>
              </w:rPr>
            </w:pPr>
            <w:r w:rsidRPr="00D32221">
              <w:rPr>
                <w:rFonts w:cstheme="minorHAnsi"/>
                <w:lang w:val="fr-FR"/>
              </w:rPr>
              <w:t>PIIRS</w:t>
            </w:r>
          </w:p>
        </w:tc>
        <w:tc>
          <w:tcPr>
            <w:tcW w:w="7229" w:type="dxa"/>
          </w:tcPr>
          <w:p w:rsidR="00F974DD" w:rsidRPr="00D32221" w:rsidRDefault="00F974DD" w:rsidP="00F974DD">
            <w:pPr>
              <w:rPr>
                <w:rFonts w:cstheme="minorHAnsi"/>
                <w:lang w:val="fr-FR"/>
              </w:rPr>
            </w:pPr>
            <w:r w:rsidRPr="00D32221">
              <w:rPr>
                <w:rFonts w:cstheme="minorHAnsi"/>
                <w:lang w:val="fr-FR"/>
              </w:rPr>
              <w:t>% de projets et d'initiatives rapportant des informations basées sur le marqueur de genre</w:t>
            </w:r>
          </w:p>
          <w:p w:rsidR="00341167" w:rsidRPr="00D32221" w:rsidRDefault="00F974DD" w:rsidP="000E7093">
            <w:pPr>
              <w:rPr>
                <w:rFonts w:cstheme="minorHAnsi"/>
                <w:lang w:val="fr-FR"/>
              </w:rPr>
            </w:pPr>
            <w:r w:rsidRPr="00D32221">
              <w:rPr>
                <w:rFonts w:cstheme="minorHAnsi"/>
                <w:lang w:val="fr-FR"/>
              </w:rPr>
              <w:t xml:space="preserve">% de projets et d'initiatives </w:t>
            </w:r>
            <w:r w:rsidR="000E7093">
              <w:rPr>
                <w:rFonts w:cstheme="minorHAnsi"/>
                <w:lang w:val="fr-FR"/>
              </w:rPr>
              <w:t>« </w:t>
            </w:r>
            <w:r w:rsidRPr="00D32221">
              <w:rPr>
                <w:rFonts w:cstheme="minorHAnsi"/>
                <w:lang w:val="fr-FR"/>
              </w:rPr>
              <w:t>transformat</w:t>
            </w:r>
            <w:r w:rsidR="000E7093">
              <w:rPr>
                <w:rFonts w:cstheme="minorHAnsi"/>
                <w:lang w:val="fr-FR"/>
              </w:rPr>
              <w:t>ives »</w:t>
            </w:r>
            <w:r w:rsidRPr="00D32221">
              <w:rPr>
                <w:rFonts w:cstheme="minorHAnsi"/>
                <w:lang w:val="fr-FR"/>
              </w:rPr>
              <w:t xml:space="preserve"> en termes de genre</w:t>
            </w:r>
          </w:p>
        </w:tc>
      </w:tr>
      <w:tr w:rsidR="00341167" w:rsidRPr="00137479" w:rsidTr="00743265">
        <w:tc>
          <w:tcPr>
            <w:tcW w:w="4390" w:type="dxa"/>
          </w:tcPr>
          <w:p w:rsidR="004D69AC" w:rsidRPr="00D32221" w:rsidRDefault="004D69AC" w:rsidP="004D69AC">
            <w:pPr>
              <w:pStyle w:val="ListParagraph"/>
              <w:numPr>
                <w:ilvl w:val="0"/>
                <w:numId w:val="3"/>
              </w:numPr>
              <w:spacing w:line="259" w:lineRule="auto"/>
              <w:rPr>
                <w:rFonts w:cstheme="minorHAnsi"/>
                <w:color w:val="212121"/>
                <w:sz w:val="22"/>
                <w:szCs w:val="22"/>
                <w:shd w:val="clear" w:color="auto" w:fill="FFFFFF"/>
                <w:lang w:val="fr-FR"/>
              </w:rPr>
            </w:pPr>
            <w:r w:rsidRPr="00D32221">
              <w:rPr>
                <w:rFonts w:cstheme="minorHAnsi"/>
                <w:color w:val="212121"/>
                <w:sz w:val="22"/>
                <w:szCs w:val="22"/>
                <w:shd w:val="clear" w:color="auto" w:fill="FFFFFF"/>
                <w:lang w:val="fr-FR"/>
              </w:rPr>
              <w:t xml:space="preserve">Impliquer les hommes et les garçons en faveur de l'égalité des genres et de </w:t>
            </w:r>
            <w:r w:rsidRPr="00D32221">
              <w:rPr>
                <w:rFonts w:cstheme="minorHAnsi"/>
                <w:color w:val="212121"/>
                <w:sz w:val="22"/>
                <w:szCs w:val="22"/>
                <w:shd w:val="clear" w:color="auto" w:fill="FFFFFF"/>
                <w:lang w:val="fr-FR"/>
              </w:rPr>
              <w:lastRenderedPageBreak/>
              <w:t>l'autonomisation des femmes (lorsque des activités avec des hommes et des garçons font partie des programmes et des actions).</w:t>
            </w:r>
          </w:p>
          <w:p w:rsidR="00341167" w:rsidRPr="00D32221" w:rsidRDefault="00341167" w:rsidP="00743265">
            <w:pPr>
              <w:pStyle w:val="ListParagraph"/>
              <w:ind w:left="360"/>
              <w:rPr>
                <w:rFonts w:cstheme="minorHAnsi"/>
                <w:sz w:val="22"/>
                <w:szCs w:val="22"/>
                <w:lang w:val="fr-FR"/>
              </w:rPr>
            </w:pPr>
          </w:p>
        </w:tc>
        <w:tc>
          <w:tcPr>
            <w:tcW w:w="2268" w:type="dxa"/>
          </w:tcPr>
          <w:p w:rsidR="00341167" w:rsidRPr="00D32221" w:rsidRDefault="00341167" w:rsidP="00743265">
            <w:pPr>
              <w:rPr>
                <w:rFonts w:cstheme="minorHAnsi"/>
                <w:lang w:val="fr-FR"/>
              </w:rPr>
            </w:pPr>
            <w:r w:rsidRPr="00D32221">
              <w:rPr>
                <w:rFonts w:cstheme="minorHAnsi"/>
                <w:lang w:val="fr-FR"/>
              </w:rPr>
              <w:lastRenderedPageBreak/>
              <w:t xml:space="preserve">PIIRS </w:t>
            </w:r>
          </w:p>
          <w:p w:rsidR="002A0B7A" w:rsidRPr="00D32221" w:rsidRDefault="002A0B7A" w:rsidP="00743265">
            <w:pPr>
              <w:rPr>
                <w:rFonts w:cstheme="minorHAnsi"/>
                <w:lang w:val="fr-FR"/>
              </w:rPr>
            </w:pPr>
          </w:p>
          <w:p w:rsidR="00341167" w:rsidRPr="00D32221" w:rsidRDefault="008A7751" w:rsidP="00743265">
            <w:pPr>
              <w:rPr>
                <w:rFonts w:cstheme="minorHAnsi"/>
                <w:lang w:val="fr-FR"/>
              </w:rPr>
            </w:pPr>
            <w:r w:rsidRPr="00D32221">
              <w:rPr>
                <w:rFonts w:cstheme="minorHAnsi"/>
                <w:lang w:val="fr-FR"/>
              </w:rPr>
              <w:lastRenderedPageBreak/>
              <w:t>Marketing direct</w:t>
            </w:r>
          </w:p>
          <w:p w:rsidR="00341167" w:rsidRPr="00D32221" w:rsidRDefault="009A643B" w:rsidP="008A7751">
            <w:pPr>
              <w:rPr>
                <w:rFonts w:cstheme="minorHAnsi"/>
                <w:lang w:val="fr-FR"/>
              </w:rPr>
            </w:pPr>
            <w:r w:rsidRPr="00D32221">
              <w:rPr>
                <w:rFonts w:cstheme="minorHAnsi"/>
                <w:lang w:val="fr-FR"/>
              </w:rPr>
              <w:t>Aucune source</w:t>
            </w:r>
          </w:p>
        </w:tc>
        <w:tc>
          <w:tcPr>
            <w:tcW w:w="7229" w:type="dxa"/>
          </w:tcPr>
          <w:p w:rsidR="00F974DD" w:rsidRPr="00D32221" w:rsidRDefault="000E7093" w:rsidP="00F974DD">
            <w:pPr>
              <w:rPr>
                <w:rFonts w:cstheme="minorHAnsi"/>
                <w:lang w:val="fr-FR"/>
              </w:rPr>
            </w:pPr>
            <w:r>
              <w:rPr>
                <w:rFonts w:cstheme="minorHAnsi"/>
                <w:lang w:val="fr-FR"/>
              </w:rPr>
              <w:lastRenderedPageBreak/>
              <w:t xml:space="preserve">% </w:t>
            </w:r>
            <w:r w:rsidR="00F974DD" w:rsidRPr="00D32221">
              <w:rPr>
                <w:rFonts w:cstheme="minorHAnsi"/>
                <w:lang w:val="fr-FR"/>
              </w:rPr>
              <w:t>de projets et d'initiatives signalant des activités impli</w:t>
            </w:r>
            <w:r>
              <w:rPr>
                <w:rFonts w:cstheme="minorHAnsi"/>
                <w:lang w:val="fr-FR"/>
              </w:rPr>
              <w:t>quant des enfants et des hommes</w:t>
            </w:r>
          </w:p>
          <w:p w:rsidR="00F974DD" w:rsidRPr="00D32221" w:rsidRDefault="00F974DD" w:rsidP="00F974DD">
            <w:pPr>
              <w:rPr>
                <w:rFonts w:cstheme="minorHAnsi"/>
                <w:lang w:val="fr-FR"/>
              </w:rPr>
            </w:pPr>
            <w:r w:rsidRPr="00D32221">
              <w:rPr>
                <w:rFonts w:cstheme="minorHAnsi"/>
                <w:lang w:val="fr-FR"/>
              </w:rPr>
              <w:lastRenderedPageBreak/>
              <w:t>% de donneurs individuels masculins</w:t>
            </w:r>
          </w:p>
          <w:p w:rsidR="00341167" w:rsidRPr="00D32221" w:rsidRDefault="00F974DD" w:rsidP="00F974DD">
            <w:pPr>
              <w:rPr>
                <w:rFonts w:cstheme="minorHAnsi"/>
                <w:color w:val="ED7D31" w:themeColor="accent2"/>
                <w:lang w:val="fr-FR"/>
              </w:rPr>
            </w:pPr>
            <w:r w:rsidRPr="00D32221">
              <w:rPr>
                <w:rFonts w:cstheme="minorHAnsi"/>
                <w:lang w:val="fr-FR"/>
              </w:rPr>
              <w:t>% de personnel masculin de CARE ayant suivi la formation de base sur l'égalité des sexes et la diversité au cours de leur première année d'emploi</w:t>
            </w:r>
          </w:p>
        </w:tc>
      </w:tr>
      <w:tr w:rsidR="00341167" w:rsidRPr="00137479" w:rsidTr="00743265">
        <w:tc>
          <w:tcPr>
            <w:tcW w:w="4390" w:type="dxa"/>
          </w:tcPr>
          <w:p w:rsidR="00341167" w:rsidRPr="00D32221" w:rsidRDefault="00743265" w:rsidP="004D69AC">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lastRenderedPageBreak/>
              <w:t>Identifier les risques possibles tout au long du cycle du programme et prendre des mesures pour atténuer les conséquences de la violence sexiste, quel que soit le problème dans lequel nous travaillons, en particulier dans les contextes fragiles et conflictuels.</w:t>
            </w:r>
          </w:p>
        </w:tc>
        <w:tc>
          <w:tcPr>
            <w:tcW w:w="2268" w:type="dxa"/>
          </w:tcPr>
          <w:p w:rsidR="009A643B" w:rsidRPr="00D32221" w:rsidRDefault="009A643B" w:rsidP="00743265">
            <w:pPr>
              <w:rPr>
                <w:rFonts w:cstheme="minorHAnsi"/>
                <w:lang w:val="fr-FR"/>
              </w:rPr>
            </w:pPr>
            <w:r w:rsidRPr="00D32221">
              <w:rPr>
                <w:rFonts w:cstheme="minorHAnsi"/>
                <w:lang w:val="fr-FR"/>
              </w:rPr>
              <w:t>Marqueur de genre</w:t>
            </w:r>
          </w:p>
          <w:p w:rsidR="00341167" w:rsidRPr="00D32221" w:rsidRDefault="00341167" w:rsidP="00743265">
            <w:pPr>
              <w:rPr>
                <w:rFonts w:cstheme="minorHAnsi"/>
                <w:lang w:val="fr-FR"/>
              </w:rPr>
            </w:pPr>
            <w:r w:rsidRPr="00D32221">
              <w:rPr>
                <w:rFonts w:cstheme="minorHAnsi"/>
                <w:lang w:val="fr-FR"/>
              </w:rPr>
              <w:t>PIIRS</w:t>
            </w:r>
          </w:p>
        </w:tc>
        <w:tc>
          <w:tcPr>
            <w:tcW w:w="7229" w:type="dxa"/>
          </w:tcPr>
          <w:p w:rsidR="00341167" w:rsidRPr="00D32221" w:rsidRDefault="00F974DD" w:rsidP="00364E44">
            <w:pPr>
              <w:rPr>
                <w:rFonts w:cstheme="minorHAnsi"/>
                <w:color w:val="ED7D31" w:themeColor="accent2"/>
                <w:lang w:val="fr-FR"/>
              </w:rPr>
            </w:pPr>
            <w:r w:rsidRPr="00D32221">
              <w:rPr>
                <w:rFonts w:cstheme="minorHAnsi"/>
                <w:lang w:val="fr-FR"/>
              </w:rPr>
              <w:t>% de projets et d'initiatives avec suivi et évaluation qualifiés de transformateurs en terme de genre</w:t>
            </w:r>
          </w:p>
        </w:tc>
      </w:tr>
      <w:tr w:rsidR="00341167" w:rsidRPr="00D32221" w:rsidTr="00743265">
        <w:tc>
          <w:tcPr>
            <w:tcW w:w="4390" w:type="dxa"/>
          </w:tcPr>
          <w:p w:rsidR="00341167" w:rsidRPr="00D32221" w:rsidRDefault="00743265" w:rsidP="004D69AC">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t>Etablir des alliances avec des organisations et des mouvements de droits des femmes et/ou LGBTIQ pour contribuer aux objectifs que nous soutenons, et faire entendre la voix des personnes marginalisées ; impliquer divers acteurs dans la lutte pour l'égalité des sexes - acteurs de la société civile, des gouvernements, du secteur privé et des donateurs.</w:t>
            </w:r>
          </w:p>
        </w:tc>
        <w:tc>
          <w:tcPr>
            <w:tcW w:w="2268" w:type="dxa"/>
          </w:tcPr>
          <w:p w:rsidR="009A643B" w:rsidRPr="00D32221" w:rsidRDefault="009A643B" w:rsidP="009A643B">
            <w:pPr>
              <w:rPr>
                <w:rFonts w:cstheme="minorHAnsi"/>
                <w:lang w:val="fr-FR"/>
              </w:rPr>
            </w:pPr>
            <w:r w:rsidRPr="00D32221">
              <w:rPr>
                <w:rFonts w:cstheme="minorHAnsi"/>
                <w:lang w:val="fr-FR"/>
              </w:rPr>
              <w:t>PIIRS</w:t>
            </w:r>
          </w:p>
          <w:p w:rsidR="009A643B" w:rsidRPr="00D32221" w:rsidRDefault="009A643B" w:rsidP="009A643B">
            <w:pPr>
              <w:rPr>
                <w:rFonts w:cstheme="minorHAnsi"/>
                <w:lang w:val="fr-FR"/>
              </w:rPr>
            </w:pPr>
          </w:p>
          <w:p w:rsidR="009A643B" w:rsidRPr="00D32221" w:rsidRDefault="009A643B" w:rsidP="009A643B">
            <w:pPr>
              <w:rPr>
                <w:rFonts w:cstheme="minorHAnsi"/>
                <w:lang w:val="fr-FR"/>
              </w:rPr>
            </w:pPr>
            <w:r w:rsidRPr="00D32221">
              <w:rPr>
                <w:rFonts w:cstheme="minorHAnsi"/>
                <w:lang w:val="fr-FR"/>
              </w:rPr>
              <w:t xml:space="preserve">Aucune source </w:t>
            </w:r>
          </w:p>
          <w:p w:rsidR="009A643B" w:rsidRPr="00D32221" w:rsidRDefault="009A643B" w:rsidP="009A643B">
            <w:pPr>
              <w:rPr>
                <w:rFonts w:cstheme="minorHAnsi"/>
                <w:lang w:val="fr-FR"/>
              </w:rPr>
            </w:pPr>
            <w:r w:rsidRPr="00D32221">
              <w:rPr>
                <w:rFonts w:cstheme="minorHAnsi"/>
                <w:lang w:val="fr-FR"/>
              </w:rPr>
              <w:t>PIIRS</w:t>
            </w:r>
          </w:p>
          <w:p w:rsidR="00341167" w:rsidRPr="00D32221" w:rsidRDefault="009A643B" w:rsidP="009A643B">
            <w:pPr>
              <w:rPr>
                <w:rFonts w:cstheme="minorHAnsi"/>
                <w:lang w:val="fr-FR"/>
              </w:rPr>
            </w:pPr>
            <w:r w:rsidRPr="00D32221">
              <w:rPr>
                <w:rFonts w:cstheme="minorHAnsi"/>
                <w:lang w:val="fr-FR"/>
              </w:rPr>
              <w:t>Normes CI de présence dans les pays</w:t>
            </w:r>
          </w:p>
        </w:tc>
        <w:tc>
          <w:tcPr>
            <w:tcW w:w="7229" w:type="dxa"/>
          </w:tcPr>
          <w:p w:rsidR="00F974DD" w:rsidRPr="00D32221" w:rsidRDefault="00F974DD" w:rsidP="00F974DD">
            <w:pPr>
              <w:rPr>
                <w:rFonts w:cstheme="minorHAnsi"/>
                <w:lang w:val="fr-FR"/>
              </w:rPr>
            </w:pPr>
            <w:r w:rsidRPr="00D32221">
              <w:rPr>
                <w:rFonts w:cstheme="minorHAnsi"/>
                <w:lang w:val="fr-FR"/>
              </w:rPr>
              <w:t>% de projets et d'initiatives mis en œuvre conjointement avec des organisations ou des mouvements de femmes</w:t>
            </w:r>
          </w:p>
          <w:p w:rsidR="00F974DD" w:rsidRPr="00D32221" w:rsidRDefault="00F974DD" w:rsidP="00F974DD">
            <w:pPr>
              <w:rPr>
                <w:rFonts w:cstheme="minorHAnsi"/>
                <w:lang w:val="fr-FR"/>
              </w:rPr>
            </w:pPr>
            <w:r w:rsidRPr="00D32221">
              <w:rPr>
                <w:rFonts w:cstheme="minorHAnsi"/>
                <w:lang w:val="fr-FR"/>
              </w:rPr>
              <w:t>% de projets et d'initiatives mis en œuvre avec des organisations LGBTIQ</w:t>
            </w:r>
          </w:p>
          <w:p w:rsidR="00F974DD" w:rsidRPr="00D32221" w:rsidRDefault="00F974DD" w:rsidP="00F974DD">
            <w:pPr>
              <w:rPr>
                <w:rFonts w:cstheme="minorHAnsi"/>
                <w:lang w:val="fr-FR"/>
              </w:rPr>
            </w:pPr>
            <w:r w:rsidRPr="00D32221">
              <w:rPr>
                <w:rFonts w:cstheme="minorHAnsi"/>
                <w:lang w:val="fr-FR"/>
              </w:rPr>
              <w:t>% de projets et d'initiatives mis en œuvre avec des partenaires</w:t>
            </w:r>
          </w:p>
          <w:p w:rsidR="00F974DD" w:rsidRPr="00D32221" w:rsidRDefault="00F974DD" w:rsidP="00F974DD">
            <w:pPr>
              <w:rPr>
                <w:rFonts w:cstheme="minorHAnsi"/>
                <w:lang w:val="fr-FR"/>
              </w:rPr>
            </w:pPr>
            <w:r w:rsidRPr="00D32221">
              <w:rPr>
                <w:rFonts w:cstheme="minorHAnsi"/>
                <w:lang w:val="fr-FR"/>
              </w:rPr>
              <w:t>% de bureaux CARE répondant au critère 6.ii</w:t>
            </w:r>
          </w:p>
          <w:p w:rsidR="00341167" w:rsidRPr="00335C50" w:rsidRDefault="00F974DD" w:rsidP="000E7093">
            <w:pPr>
              <w:pStyle w:val="HTMLPreformatted"/>
              <w:rPr>
                <w:rFonts w:asciiTheme="minorHAnsi" w:hAnsiTheme="minorHAnsi" w:cstheme="minorHAnsi"/>
                <w:color w:val="ED7D31" w:themeColor="accent2"/>
                <w:lang w:val="fr-FR"/>
              </w:rPr>
            </w:pPr>
            <w:r w:rsidRPr="00335C50">
              <w:rPr>
                <w:rFonts w:asciiTheme="minorHAnsi" w:hAnsiTheme="minorHAnsi" w:cstheme="minorHAnsi"/>
                <w:lang w:val="fr-FR"/>
              </w:rPr>
              <w:t xml:space="preserve">[6ii Les partenaires sélectionnés dans le pays respectent les valeurs de l'égalité des </w:t>
            </w:r>
            <w:r w:rsidR="000E7093">
              <w:rPr>
                <w:rFonts w:asciiTheme="minorHAnsi" w:hAnsiTheme="minorHAnsi" w:cstheme="minorHAnsi"/>
                <w:lang w:val="fr-FR"/>
              </w:rPr>
              <w:t>genres</w:t>
            </w:r>
            <w:r w:rsidRPr="00335C50">
              <w:rPr>
                <w:rFonts w:asciiTheme="minorHAnsi" w:hAnsiTheme="minorHAnsi" w:cstheme="minorHAnsi"/>
                <w:lang w:val="fr-FR"/>
              </w:rPr>
              <w:t xml:space="preserve"> et de la diversité, et les partenaires reçoivent une formation / un renforcement des capacités de la part </w:t>
            </w:r>
            <w:r w:rsidR="000E7093">
              <w:rPr>
                <w:rFonts w:asciiTheme="minorHAnsi" w:hAnsiTheme="minorHAnsi" w:cstheme="minorHAnsi"/>
                <w:lang w:val="fr-FR"/>
              </w:rPr>
              <w:t>de CARE</w:t>
            </w:r>
            <w:r w:rsidRPr="00335C50">
              <w:rPr>
                <w:rFonts w:asciiTheme="minorHAnsi" w:hAnsiTheme="minorHAnsi" w:cstheme="minorHAnsi"/>
                <w:lang w:val="fr-FR"/>
              </w:rPr>
              <w:t xml:space="preserve"> sur les approches et les outils de genre.]</w:t>
            </w:r>
          </w:p>
        </w:tc>
      </w:tr>
      <w:tr w:rsidR="00341167" w:rsidRPr="00D32221" w:rsidTr="00743265">
        <w:tc>
          <w:tcPr>
            <w:tcW w:w="4390" w:type="dxa"/>
          </w:tcPr>
          <w:p w:rsidR="00341167" w:rsidRPr="00D32221" w:rsidRDefault="00743265" w:rsidP="00D05DA7">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t>Utiliser une approche « ne pas nuire » dans les évaluations et les méthodes participatives pour estimer les progrès réalisés en matière d’égalité des genres. Documenter les meilleures pratiques et les défis, et créer des mécanismes d'apprentissage parmi les communautés, les partenaires et le personnel de CARE.</w:t>
            </w:r>
          </w:p>
        </w:tc>
        <w:tc>
          <w:tcPr>
            <w:tcW w:w="2268" w:type="dxa"/>
          </w:tcPr>
          <w:p w:rsidR="00341167" w:rsidRPr="00D32221" w:rsidRDefault="00BB5407" w:rsidP="00743265">
            <w:pPr>
              <w:rPr>
                <w:rFonts w:cstheme="minorHAnsi"/>
                <w:lang w:val="fr-FR"/>
              </w:rPr>
            </w:pPr>
            <w:hyperlink r:id="rId7" w:history="1">
              <w:r w:rsidR="00341167" w:rsidRPr="00D32221">
                <w:rPr>
                  <w:rStyle w:val="Hyperlink"/>
                  <w:rFonts w:cstheme="minorHAnsi"/>
                  <w:lang w:val="fr-FR"/>
                </w:rPr>
                <w:t>careevaluations.org</w:t>
              </w:r>
            </w:hyperlink>
            <w:r w:rsidR="00341167" w:rsidRPr="00D32221">
              <w:rPr>
                <w:rFonts w:cstheme="minorHAnsi"/>
                <w:lang w:val="fr-FR"/>
              </w:rPr>
              <w:t xml:space="preserve"> </w:t>
            </w:r>
          </w:p>
          <w:p w:rsidR="00341167" w:rsidRPr="00D32221" w:rsidRDefault="00341167" w:rsidP="00743265">
            <w:pPr>
              <w:rPr>
                <w:rFonts w:cstheme="minorHAnsi"/>
                <w:lang w:val="fr-FR"/>
              </w:rPr>
            </w:pPr>
          </w:p>
          <w:p w:rsidR="00341167" w:rsidRPr="00D32221" w:rsidRDefault="00341167" w:rsidP="00743265">
            <w:pPr>
              <w:rPr>
                <w:rFonts w:cstheme="minorHAnsi"/>
                <w:lang w:val="fr-FR"/>
              </w:rPr>
            </w:pPr>
          </w:p>
          <w:p w:rsidR="00341167" w:rsidRPr="00D32221" w:rsidRDefault="00341167" w:rsidP="00743265">
            <w:pPr>
              <w:rPr>
                <w:rFonts w:cstheme="minorHAnsi"/>
                <w:lang w:val="fr-FR"/>
              </w:rPr>
            </w:pPr>
          </w:p>
          <w:p w:rsidR="00341167" w:rsidRPr="00D32221" w:rsidRDefault="00341167" w:rsidP="00743265">
            <w:pPr>
              <w:rPr>
                <w:rFonts w:cstheme="minorHAnsi"/>
                <w:lang w:val="fr-FR"/>
              </w:rPr>
            </w:pPr>
          </w:p>
          <w:p w:rsidR="000E7093" w:rsidRDefault="000E7093" w:rsidP="00743265">
            <w:pPr>
              <w:rPr>
                <w:rFonts w:cstheme="minorHAnsi"/>
                <w:lang w:val="fr-FR"/>
              </w:rPr>
            </w:pPr>
          </w:p>
          <w:p w:rsidR="00341167" w:rsidRPr="00D32221" w:rsidRDefault="00341167" w:rsidP="00743265">
            <w:pPr>
              <w:rPr>
                <w:rFonts w:cstheme="minorHAnsi"/>
                <w:lang w:val="fr-FR"/>
              </w:rPr>
            </w:pPr>
            <w:r w:rsidRPr="00D32221">
              <w:rPr>
                <w:rFonts w:cstheme="minorHAnsi"/>
                <w:lang w:val="fr-FR"/>
              </w:rPr>
              <w:t>PIIRS</w:t>
            </w:r>
          </w:p>
        </w:tc>
        <w:tc>
          <w:tcPr>
            <w:tcW w:w="7229" w:type="dxa"/>
          </w:tcPr>
          <w:p w:rsidR="00F974DD" w:rsidRPr="00D32221" w:rsidRDefault="00F974DD" w:rsidP="00F974DD">
            <w:pPr>
              <w:pStyle w:val="HTMLPreformatted"/>
              <w:rPr>
                <w:rFonts w:asciiTheme="minorHAnsi" w:hAnsiTheme="minorHAnsi" w:cstheme="minorHAnsi"/>
                <w:sz w:val="22"/>
                <w:szCs w:val="22"/>
                <w:lang w:val="fr-FR"/>
              </w:rPr>
            </w:pPr>
            <w:r w:rsidRPr="00D32221">
              <w:rPr>
                <w:rFonts w:asciiTheme="minorHAnsi" w:hAnsiTheme="minorHAnsi" w:cstheme="minorHAnsi"/>
                <w:sz w:val="22"/>
                <w:szCs w:val="22"/>
                <w:lang w:val="fr-FR"/>
              </w:rPr>
              <w:t xml:space="preserve">% d'évaluations de projets et d'initiatives ayant </w:t>
            </w:r>
            <w:r w:rsidR="000E7093" w:rsidRPr="00D32221">
              <w:rPr>
                <w:rFonts w:asciiTheme="minorHAnsi" w:hAnsiTheme="minorHAnsi" w:cstheme="minorHAnsi"/>
                <w:sz w:val="22"/>
                <w:szCs w:val="22"/>
                <w:lang w:val="fr-FR"/>
              </w:rPr>
              <w:t>un</w:t>
            </w:r>
            <w:r w:rsidR="000E7093">
              <w:rPr>
                <w:rFonts w:asciiTheme="minorHAnsi" w:hAnsiTheme="minorHAnsi" w:cstheme="minorHAnsi"/>
                <w:sz w:val="22"/>
                <w:szCs w:val="22"/>
                <w:lang w:val="fr-FR"/>
              </w:rPr>
              <w:t>e</w:t>
            </w:r>
            <w:r w:rsidR="000E7093" w:rsidRPr="00D32221">
              <w:rPr>
                <w:rFonts w:asciiTheme="minorHAnsi" w:hAnsiTheme="minorHAnsi" w:cstheme="minorHAnsi"/>
                <w:sz w:val="22"/>
                <w:szCs w:val="22"/>
                <w:lang w:val="fr-FR"/>
              </w:rPr>
              <w:t xml:space="preserve"> </w:t>
            </w:r>
            <w:r w:rsidR="000E7093">
              <w:rPr>
                <w:rFonts w:asciiTheme="minorHAnsi" w:hAnsiTheme="minorHAnsi" w:cstheme="minorHAnsi"/>
                <w:sz w:val="22"/>
                <w:szCs w:val="22"/>
                <w:lang w:val="fr-FR"/>
              </w:rPr>
              <w:t>note</w:t>
            </w:r>
            <w:r w:rsidR="000E7093" w:rsidRPr="00D32221">
              <w:rPr>
                <w:rFonts w:asciiTheme="minorHAnsi" w:hAnsiTheme="minorHAnsi" w:cstheme="minorHAnsi"/>
                <w:sz w:val="22"/>
                <w:szCs w:val="22"/>
                <w:lang w:val="fr-FR"/>
              </w:rPr>
              <w:t xml:space="preserve"> élevée</w:t>
            </w:r>
            <w:r w:rsidRPr="00D32221">
              <w:rPr>
                <w:rFonts w:asciiTheme="minorHAnsi" w:hAnsiTheme="minorHAnsi" w:cstheme="minorHAnsi"/>
                <w:sz w:val="22"/>
                <w:szCs w:val="22"/>
                <w:lang w:val="fr-FR"/>
              </w:rPr>
              <w:t xml:space="preserve"> sur careevaluations.org sur ce point</w:t>
            </w:r>
            <w:r w:rsidR="000E7093">
              <w:rPr>
                <w:rFonts w:asciiTheme="minorHAnsi" w:hAnsiTheme="minorHAnsi" w:cstheme="minorHAnsi"/>
                <w:sz w:val="22"/>
                <w:szCs w:val="22"/>
                <w:lang w:val="fr-FR"/>
              </w:rPr>
              <w:t xml:space="preserve"> </w:t>
            </w:r>
            <w:r w:rsidRPr="00D32221">
              <w:rPr>
                <w:rFonts w:asciiTheme="minorHAnsi" w:hAnsiTheme="minorHAnsi" w:cstheme="minorHAnsi"/>
                <w:sz w:val="22"/>
                <w:szCs w:val="22"/>
                <w:lang w:val="fr-FR"/>
              </w:rPr>
              <w:t>: «</w:t>
            </w:r>
            <w:r w:rsidR="000E7093">
              <w:rPr>
                <w:rFonts w:asciiTheme="minorHAnsi" w:hAnsiTheme="minorHAnsi" w:cstheme="minorHAnsi"/>
                <w:sz w:val="22"/>
                <w:szCs w:val="22"/>
                <w:lang w:val="fr-FR"/>
              </w:rPr>
              <w:t xml:space="preserve"> L</w:t>
            </w:r>
            <w:r w:rsidRPr="00D32221">
              <w:rPr>
                <w:rFonts w:asciiTheme="minorHAnsi" w:hAnsiTheme="minorHAnsi" w:cstheme="minorHAnsi"/>
                <w:sz w:val="22"/>
                <w:szCs w:val="22"/>
                <w:lang w:val="fr-FR"/>
              </w:rPr>
              <w:t>es acteurs, y compris les représentants des participants, participent à la planification, à la mise en œuvre et à l'utilisation des résultats des évaluations. Cette participation influence la manière dont le succès du projet ou de l’initiative est évalué, du point de vue des participants</w:t>
            </w:r>
            <w:r w:rsidR="000E7093">
              <w:rPr>
                <w:rFonts w:asciiTheme="minorHAnsi" w:hAnsiTheme="minorHAnsi" w:cstheme="minorHAnsi"/>
                <w:sz w:val="22"/>
                <w:szCs w:val="22"/>
                <w:lang w:val="fr-FR"/>
              </w:rPr>
              <w:t> »</w:t>
            </w:r>
            <w:r w:rsidRPr="00D32221">
              <w:rPr>
                <w:rFonts w:asciiTheme="minorHAnsi" w:hAnsiTheme="minorHAnsi" w:cstheme="minorHAnsi"/>
                <w:sz w:val="22"/>
                <w:szCs w:val="22"/>
                <w:lang w:val="fr-FR"/>
              </w:rPr>
              <w:t>.</w:t>
            </w:r>
          </w:p>
          <w:p w:rsidR="00341167" w:rsidRPr="00D32221" w:rsidRDefault="00F974DD" w:rsidP="00F974DD">
            <w:pPr>
              <w:rPr>
                <w:rFonts w:cstheme="minorHAnsi"/>
                <w:color w:val="ED7D31" w:themeColor="accent2"/>
                <w:lang w:val="fr-FR"/>
              </w:rPr>
            </w:pPr>
            <w:r w:rsidRPr="00D32221">
              <w:rPr>
                <w:rFonts w:cstheme="minorHAnsi"/>
                <w:lang w:val="fr-FR"/>
              </w:rPr>
              <w:t>% de projets et d'initiatives utilisant et rapportant des informations sur les indicateurs d'égalité de genre</w:t>
            </w:r>
          </w:p>
        </w:tc>
      </w:tr>
      <w:tr w:rsidR="00341167" w:rsidRPr="00D32221" w:rsidTr="00743265">
        <w:tc>
          <w:tcPr>
            <w:tcW w:w="4390" w:type="dxa"/>
          </w:tcPr>
          <w:p w:rsidR="00341167" w:rsidRPr="00D32221" w:rsidRDefault="00743265" w:rsidP="00D05DA7">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t xml:space="preserve">Assurer que toutes nos politiques et pratiques en matière de ressources humaines soient élaborées avec une </w:t>
            </w:r>
            <w:r w:rsidRPr="00D32221">
              <w:rPr>
                <w:rFonts w:cstheme="minorHAnsi"/>
                <w:color w:val="212121"/>
                <w:sz w:val="22"/>
                <w:szCs w:val="22"/>
                <w:shd w:val="clear" w:color="auto" w:fill="FFFFFF"/>
                <w:lang w:val="fr-FR"/>
              </w:rPr>
              <w:lastRenderedPageBreak/>
              <w:t>perspective de genre. Evaluer la répartition du genre et la diversité du personnel et des conseils d'administration de CARE, ainsi que le salaire moyen par sexe. Mettre en œuvre des stratégies spécifiques pour corriger toute inégalité en termes de genre, dans la répartition et le niveau de salaire du personnel.</w:t>
            </w:r>
          </w:p>
        </w:tc>
        <w:tc>
          <w:tcPr>
            <w:tcW w:w="2268" w:type="dxa"/>
          </w:tcPr>
          <w:p w:rsidR="009A643B" w:rsidRPr="00D32221" w:rsidRDefault="009A643B" w:rsidP="009A643B">
            <w:pPr>
              <w:rPr>
                <w:rFonts w:cstheme="minorHAnsi"/>
                <w:lang w:val="fr-FR"/>
              </w:rPr>
            </w:pPr>
            <w:r w:rsidRPr="00D32221">
              <w:rPr>
                <w:rFonts w:cstheme="minorHAnsi"/>
                <w:lang w:val="fr-FR"/>
              </w:rPr>
              <w:lastRenderedPageBreak/>
              <w:t>PIIRS</w:t>
            </w:r>
          </w:p>
          <w:p w:rsidR="009A643B" w:rsidRPr="00D32221" w:rsidRDefault="009A643B" w:rsidP="009A643B">
            <w:pPr>
              <w:rPr>
                <w:rFonts w:cstheme="minorHAnsi"/>
                <w:lang w:val="fr-FR"/>
              </w:rPr>
            </w:pPr>
            <w:r w:rsidRPr="00D32221">
              <w:rPr>
                <w:rFonts w:cstheme="minorHAnsi"/>
                <w:lang w:val="fr-FR"/>
              </w:rPr>
              <w:t>Rapports individuels Aucune source</w:t>
            </w:r>
          </w:p>
          <w:p w:rsidR="009A643B" w:rsidRPr="00D32221" w:rsidRDefault="009A643B" w:rsidP="009A643B">
            <w:pPr>
              <w:rPr>
                <w:rFonts w:cstheme="minorHAnsi"/>
                <w:lang w:val="fr-FR"/>
              </w:rPr>
            </w:pPr>
            <w:r w:rsidRPr="00D32221">
              <w:rPr>
                <w:rFonts w:cstheme="minorHAnsi"/>
                <w:lang w:val="fr-FR"/>
              </w:rPr>
              <w:lastRenderedPageBreak/>
              <w:t>PIIRS</w:t>
            </w:r>
          </w:p>
          <w:p w:rsidR="00341167" w:rsidRPr="00D32221" w:rsidRDefault="009A643B" w:rsidP="000E7093">
            <w:pPr>
              <w:rPr>
                <w:rFonts w:cstheme="minorHAnsi"/>
                <w:lang w:val="fr-FR"/>
              </w:rPr>
            </w:pPr>
            <w:r w:rsidRPr="00D32221">
              <w:rPr>
                <w:rFonts w:cstheme="minorHAnsi"/>
                <w:lang w:val="fr-FR"/>
              </w:rPr>
              <w:t>Rapports individuels et cadre de r</w:t>
            </w:r>
            <w:r w:rsidR="000E7093">
              <w:rPr>
                <w:rFonts w:cstheme="minorHAnsi"/>
                <w:lang w:val="fr-FR"/>
              </w:rPr>
              <w:t>edevabilité</w:t>
            </w:r>
          </w:p>
        </w:tc>
        <w:tc>
          <w:tcPr>
            <w:tcW w:w="7229" w:type="dxa"/>
          </w:tcPr>
          <w:p w:rsidR="00F974DD" w:rsidRPr="00D32221" w:rsidRDefault="00F974DD" w:rsidP="00F974DD">
            <w:pPr>
              <w:rPr>
                <w:rFonts w:cstheme="minorHAnsi"/>
                <w:lang w:val="fr-FR"/>
              </w:rPr>
            </w:pPr>
            <w:r w:rsidRPr="00D32221">
              <w:rPr>
                <w:rFonts w:cstheme="minorHAnsi"/>
                <w:lang w:val="fr-FR"/>
              </w:rPr>
              <w:lastRenderedPageBreak/>
              <w:t>Répartition du personnel selon le sexe</w:t>
            </w:r>
          </w:p>
          <w:p w:rsidR="00F974DD" w:rsidRPr="00D32221" w:rsidRDefault="00F974DD" w:rsidP="00F974DD">
            <w:pPr>
              <w:rPr>
                <w:rFonts w:cstheme="minorHAnsi"/>
                <w:lang w:val="fr-FR"/>
              </w:rPr>
            </w:pPr>
            <w:r w:rsidRPr="00D32221">
              <w:rPr>
                <w:rFonts w:cstheme="minorHAnsi"/>
                <w:lang w:val="fr-FR"/>
              </w:rPr>
              <w:t>Écart salarial médian selon le sexe</w:t>
            </w:r>
          </w:p>
          <w:p w:rsidR="00F974DD" w:rsidRPr="00D32221" w:rsidRDefault="000E7093" w:rsidP="00F974DD">
            <w:pPr>
              <w:rPr>
                <w:rFonts w:cstheme="minorHAnsi"/>
                <w:lang w:val="fr-FR"/>
              </w:rPr>
            </w:pPr>
            <w:r>
              <w:rPr>
                <w:rFonts w:cstheme="minorHAnsi"/>
                <w:lang w:val="fr-FR"/>
              </w:rPr>
              <w:t>É</w:t>
            </w:r>
            <w:r w:rsidR="00F974DD" w:rsidRPr="00D32221">
              <w:rPr>
                <w:rFonts w:cstheme="minorHAnsi"/>
                <w:lang w:val="fr-FR"/>
              </w:rPr>
              <w:t>cart salarial moyen par sexe</w:t>
            </w:r>
          </w:p>
          <w:p w:rsidR="00F974DD" w:rsidRPr="00D32221" w:rsidRDefault="00F974DD" w:rsidP="00F974DD">
            <w:pPr>
              <w:rPr>
                <w:rFonts w:cstheme="minorHAnsi"/>
                <w:lang w:val="fr-FR"/>
              </w:rPr>
            </w:pPr>
            <w:r w:rsidRPr="00D32221">
              <w:rPr>
                <w:rFonts w:cstheme="minorHAnsi"/>
                <w:lang w:val="fr-FR"/>
              </w:rPr>
              <w:lastRenderedPageBreak/>
              <w:t>Sexe du personnel en fonction de l'échelle</w:t>
            </w:r>
            <w:r w:rsidR="000E7093">
              <w:rPr>
                <w:rFonts w:cstheme="minorHAnsi"/>
                <w:lang w:val="fr-FR"/>
              </w:rPr>
              <w:t xml:space="preserve"> salarial</w:t>
            </w:r>
          </w:p>
          <w:p w:rsidR="00F974DD" w:rsidRPr="00D32221" w:rsidRDefault="00F974DD" w:rsidP="00F974DD">
            <w:pPr>
              <w:rPr>
                <w:rFonts w:cstheme="minorHAnsi"/>
                <w:lang w:val="fr-FR"/>
              </w:rPr>
            </w:pPr>
            <w:r w:rsidRPr="00D32221">
              <w:rPr>
                <w:rFonts w:cstheme="minorHAnsi"/>
                <w:lang w:val="fr-FR"/>
              </w:rPr>
              <w:t xml:space="preserve">% de bureaux de CARE avec une stratégie pour </w:t>
            </w:r>
            <w:r w:rsidR="000E7093">
              <w:rPr>
                <w:rFonts w:cstheme="minorHAnsi"/>
                <w:lang w:val="fr-FR"/>
              </w:rPr>
              <w:t xml:space="preserve">adresser </w:t>
            </w:r>
            <w:r w:rsidRPr="00D32221">
              <w:rPr>
                <w:rFonts w:cstheme="minorHAnsi"/>
                <w:lang w:val="fr-FR"/>
              </w:rPr>
              <w:t>les écarts entre les sexes</w:t>
            </w:r>
          </w:p>
          <w:p w:rsidR="00341167" w:rsidRPr="00D32221" w:rsidRDefault="00F974DD" w:rsidP="00F974DD">
            <w:pPr>
              <w:rPr>
                <w:rFonts w:cstheme="minorHAnsi"/>
                <w:lang w:val="fr-FR"/>
              </w:rPr>
            </w:pPr>
            <w:r w:rsidRPr="00D32221">
              <w:rPr>
                <w:rFonts w:cstheme="minorHAnsi"/>
                <w:lang w:val="fr-FR"/>
              </w:rPr>
              <w:t>Analyse GAP du genre et plan d'action élaboré au moins tous les trois ans</w:t>
            </w:r>
          </w:p>
        </w:tc>
      </w:tr>
      <w:tr w:rsidR="00341167" w:rsidRPr="00D32221" w:rsidTr="00743265">
        <w:tc>
          <w:tcPr>
            <w:tcW w:w="4390" w:type="dxa"/>
          </w:tcPr>
          <w:p w:rsidR="00743265" w:rsidRPr="00D32221" w:rsidRDefault="00743265" w:rsidP="00743265">
            <w:pPr>
              <w:pStyle w:val="ListParagraph"/>
              <w:numPr>
                <w:ilvl w:val="0"/>
                <w:numId w:val="3"/>
              </w:numPr>
              <w:spacing w:line="259" w:lineRule="auto"/>
              <w:rPr>
                <w:rFonts w:cstheme="minorHAnsi"/>
                <w:color w:val="212121"/>
                <w:sz w:val="22"/>
                <w:szCs w:val="22"/>
                <w:shd w:val="clear" w:color="auto" w:fill="FFFFFF"/>
                <w:lang w:val="fr-FR"/>
              </w:rPr>
            </w:pPr>
            <w:r w:rsidRPr="00D32221">
              <w:rPr>
                <w:rFonts w:cstheme="minorHAnsi"/>
                <w:color w:val="212121"/>
                <w:sz w:val="22"/>
                <w:szCs w:val="22"/>
                <w:shd w:val="clear" w:color="auto" w:fill="FFFFFF"/>
                <w:lang w:val="fr-FR"/>
              </w:rPr>
              <w:lastRenderedPageBreak/>
              <w:t xml:space="preserve">Recruter et retenir le personnel avec un engagement envers l'égalité de genre. Développer les capacités et les compétences du personnel et des partenaires en matière d'égalité des genres et de diversité, et veiller à ce que les plans de travail annuels, les descriptions de poste et les évaluations des performances reflètent l'engagement de CARE en faveur de l'égalité de genre. </w:t>
            </w:r>
          </w:p>
          <w:p w:rsidR="00341167" w:rsidRPr="00D32221" w:rsidRDefault="00341167" w:rsidP="00743265">
            <w:pPr>
              <w:pStyle w:val="ListParagraph"/>
              <w:ind w:left="360"/>
              <w:rPr>
                <w:rFonts w:cstheme="minorHAnsi"/>
                <w:sz w:val="22"/>
                <w:szCs w:val="22"/>
                <w:lang w:val="fr-FR"/>
              </w:rPr>
            </w:pPr>
          </w:p>
        </w:tc>
        <w:tc>
          <w:tcPr>
            <w:tcW w:w="2268" w:type="dxa"/>
          </w:tcPr>
          <w:p w:rsidR="00341167" w:rsidRPr="00D32221" w:rsidRDefault="00F974DD" w:rsidP="008A7751">
            <w:pPr>
              <w:rPr>
                <w:rFonts w:cstheme="minorHAnsi"/>
                <w:lang w:val="fr-FR"/>
              </w:rPr>
            </w:pPr>
            <w:r w:rsidRPr="00D32221">
              <w:rPr>
                <w:rFonts w:cstheme="minorHAnsi"/>
                <w:lang w:val="fr-FR"/>
              </w:rPr>
              <w:t>Normes CI de présence dans les pays</w:t>
            </w:r>
          </w:p>
        </w:tc>
        <w:tc>
          <w:tcPr>
            <w:tcW w:w="7229" w:type="dxa"/>
          </w:tcPr>
          <w:p w:rsidR="00F974DD" w:rsidRPr="00D32221" w:rsidRDefault="00F974DD" w:rsidP="00F974DD">
            <w:pPr>
              <w:rPr>
                <w:rFonts w:cstheme="minorHAnsi"/>
                <w:lang w:val="fr-FR"/>
              </w:rPr>
            </w:pPr>
            <w:r w:rsidRPr="00D32221">
              <w:rPr>
                <w:rFonts w:cstheme="minorHAnsi"/>
                <w:lang w:val="fr-FR"/>
              </w:rPr>
              <w:t>% de bureaux de CARE répondant aux critères 7.i et 7.ii</w:t>
            </w:r>
          </w:p>
          <w:p w:rsidR="00F974DD" w:rsidRPr="000E7093" w:rsidRDefault="00F974DD" w:rsidP="00F974DD">
            <w:pPr>
              <w:rPr>
                <w:rFonts w:cstheme="minorHAnsi"/>
                <w:sz w:val="20"/>
                <w:szCs w:val="20"/>
                <w:lang w:val="fr-FR"/>
              </w:rPr>
            </w:pPr>
            <w:r w:rsidRPr="000E7093">
              <w:rPr>
                <w:rFonts w:cstheme="minorHAnsi"/>
                <w:sz w:val="20"/>
                <w:szCs w:val="20"/>
                <w:lang w:val="fr-FR"/>
              </w:rPr>
              <w:t>[7.i Le bureau de CARE a documenté des politiques et des procédures pour la sélection, la gestion, le développement et la rétention du personnel permettant la pleine participation du personnel de différentes origines, genre</w:t>
            </w:r>
            <w:r w:rsidR="000E7093">
              <w:rPr>
                <w:rFonts w:cstheme="minorHAnsi"/>
                <w:sz w:val="20"/>
                <w:szCs w:val="20"/>
                <w:lang w:val="fr-FR"/>
              </w:rPr>
              <w:t>s</w:t>
            </w:r>
            <w:r w:rsidRPr="000E7093">
              <w:rPr>
                <w:rFonts w:cstheme="minorHAnsi"/>
                <w:sz w:val="20"/>
                <w:szCs w:val="20"/>
                <w:lang w:val="fr-FR"/>
              </w:rPr>
              <w:t>, groupes ethniques, religions, âges et capacités dans tous les postes (personnel de terrain et direction). Aucun genre ne représente plus de 60% du personnel.</w:t>
            </w:r>
          </w:p>
          <w:p w:rsidR="00F974DD" w:rsidRPr="000E7093" w:rsidRDefault="00F974DD" w:rsidP="00F974DD">
            <w:pPr>
              <w:rPr>
                <w:rFonts w:cstheme="minorHAnsi"/>
                <w:sz w:val="20"/>
                <w:szCs w:val="20"/>
                <w:lang w:val="fr-FR"/>
              </w:rPr>
            </w:pPr>
          </w:p>
          <w:p w:rsidR="00341167" w:rsidRPr="00335C50" w:rsidRDefault="00F974DD" w:rsidP="000E7093">
            <w:pPr>
              <w:rPr>
                <w:rFonts w:cstheme="minorHAnsi"/>
                <w:sz w:val="20"/>
                <w:szCs w:val="20"/>
                <w:lang w:val="fr-FR"/>
              </w:rPr>
            </w:pPr>
            <w:r w:rsidRPr="000E7093">
              <w:rPr>
                <w:rFonts w:cstheme="minorHAnsi"/>
                <w:sz w:val="20"/>
                <w:szCs w:val="20"/>
                <w:lang w:val="fr-FR"/>
              </w:rPr>
              <w:t xml:space="preserve">7.ii Tous les membres du personnel reçoivent une formation périodique sur les approches et les principes en matière de genre, et font preuve de comportements conformes aux valeurs </w:t>
            </w:r>
            <w:r w:rsidR="000E7093">
              <w:rPr>
                <w:rFonts w:cstheme="minorHAnsi"/>
                <w:sz w:val="20"/>
                <w:szCs w:val="20"/>
                <w:lang w:val="fr-FR"/>
              </w:rPr>
              <w:t>CI</w:t>
            </w:r>
            <w:r w:rsidRPr="000E7093">
              <w:rPr>
                <w:rFonts w:cstheme="minorHAnsi"/>
                <w:sz w:val="20"/>
                <w:szCs w:val="20"/>
                <w:lang w:val="fr-FR"/>
              </w:rPr>
              <w:t xml:space="preserve"> en matière d’égalité des </w:t>
            </w:r>
            <w:r w:rsidR="000E7093">
              <w:rPr>
                <w:rFonts w:cstheme="minorHAnsi"/>
                <w:sz w:val="20"/>
                <w:szCs w:val="20"/>
                <w:lang w:val="fr-FR"/>
              </w:rPr>
              <w:t>genres</w:t>
            </w:r>
            <w:r w:rsidRPr="000E7093">
              <w:rPr>
                <w:rFonts w:cstheme="minorHAnsi"/>
                <w:sz w:val="20"/>
                <w:szCs w:val="20"/>
                <w:lang w:val="fr-FR"/>
              </w:rPr>
              <w:t>, diversité et respect.]</w:t>
            </w:r>
          </w:p>
        </w:tc>
      </w:tr>
      <w:tr w:rsidR="00341167" w:rsidRPr="00D32221" w:rsidTr="00743265">
        <w:tc>
          <w:tcPr>
            <w:tcW w:w="4390" w:type="dxa"/>
          </w:tcPr>
          <w:p w:rsidR="00341167" w:rsidRPr="00D32221" w:rsidRDefault="00743265" w:rsidP="00D05DA7">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t>Informer régulièrement les participants, les donateurs et le public de la contribution de CARE à la promotion de l'égalité des genres.</w:t>
            </w:r>
          </w:p>
        </w:tc>
        <w:tc>
          <w:tcPr>
            <w:tcW w:w="2268" w:type="dxa"/>
          </w:tcPr>
          <w:p w:rsidR="00F974DD" w:rsidRPr="00D32221" w:rsidRDefault="00F974DD" w:rsidP="00F974DD">
            <w:pPr>
              <w:rPr>
                <w:rFonts w:cstheme="minorHAnsi"/>
                <w:lang w:val="fr-FR"/>
              </w:rPr>
            </w:pPr>
            <w:r w:rsidRPr="00D32221">
              <w:rPr>
                <w:rFonts w:cstheme="minorHAnsi"/>
                <w:lang w:val="fr-FR"/>
              </w:rPr>
              <w:t>Marqueur de genre (PIIRS)</w:t>
            </w:r>
          </w:p>
          <w:p w:rsidR="00F974DD" w:rsidRPr="00D32221" w:rsidRDefault="00F974DD" w:rsidP="00F974DD">
            <w:pPr>
              <w:rPr>
                <w:rFonts w:cstheme="minorHAnsi"/>
                <w:lang w:val="fr-FR"/>
              </w:rPr>
            </w:pPr>
            <w:r w:rsidRPr="00D32221">
              <w:rPr>
                <w:rFonts w:cstheme="minorHAnsi"/>
                <w:lang w:val="fr-FR"/>
              </w:rPr>
              <w:t>Rapports individuels</w:t>
            </w:r>
          </w:p>
          <w:p w:rsidR="00F974DD" w:rsidRPr="00D32221" w:rsidRDefault="00F974DD" w:rsidP="00F974DD">
            <w:pPr>
              <w:rPr>
                <w:rFonts w:cstheme="minorHAnsi"/>
                <w:lang w:val="fr-FR"/>
              </w:rPr>
            </w:pPr>
          </w:p>
          <w:p w:rsidR="00341167" w:rsidRPr="00D32221" w:rsidRDefault="00F974DD" w:rsidP="00F974DD">
            <w:pPr>
              <w:rPr>
                <w:rFonts w:cstheme="minorHAnsi"/>
                <w:lang w:val="fr-FR"/>
              </w:rPr>
            </w:pPr>
            <w:r w:rsidRPr="00D32221">
              <w:rPr>
                <w:rFonts w:cstheme="minorHAnsi"/>
                <w:lang w:val="fr-FR"/>
              </w:rPr>
              <w:t>Normes CI de présence dans les pays</w:t>
            </w:r>
          </w:p>
        </w:tc>
        <w:tc>
          <w:tcPr>
            <w:tcW w:w="7229" w:type="dxa"/>
          </w:tcPr>
          <w:p w:rsidR="00F974DD" w:rsidRPr="00D32221" w:rsidRDefault="00F974DD" w:rsidP="00F974DD">
            <w:pPr>
              <w:rPr>
                <w:rFonts w:cstheme="minorHAnsi"/>
                <w:lang w:val="fr-FR"/>
              </w:rPr>
            </w:pPr>
            <w:r w:rsidRPr="00D32221">
              <w:rPr>
                <w:rFonts w:cstheme="minorHAnsi"/>
                <w:lang w:val="fr-FR"/>
              </w:rPr>
              <w:t>% de projets et d'initiatives obtenant un</w:t>
            </w:r>
            <w:r w:rsidR="000E7093">
              <w:rPr>
                <w:rFonts w:cstheme="minorHAnsi"/>
                <w:lang w:val="fr-FR"/>
              </w:rPr>
              <w:t>e note</w:t>
            </w:r>
            <w:r w:rsidRPr="00D32221">
              <w:rPr>
                <w:rFonts w:cstheme="minorHAnsi"/>
                <w:lang w:val="fr-FR"/>
              </w:rPr>
              <w:t xml:space="preserve"> de 3 ou 4 au marqueur de genre</w:t>
            </w:r>
            <w:r w:rsidR="000E7093">
              <w:rPr>
                <w:rFonts w:cstheme="minorHAnsi"/>
                <w:lang w:val="fr-FR"/>
              </w:rPr>
              <w:t xml:space="preserve"> </w:t>
            </w:r>
            <w:r w:rsidR="000E7093" w:rsidRPr="00D32221">
              <w:rPr>
                <w:rFonts w:cstheme="minorHAnsi"/>
                <w:lang w:val="fr-FR"/>
              </w:rPr>
              <w:t>en termes de participation</w:t>
            </w:r>
          </w:p>
          <w:p w:rsidR="00F974DD" w:rsidRPr="00D32221" w:rsidRDefault="00F974DD" w:rsidP="00F974DD">
            <w:pPr>
              <w:rPr>
                <w:rFonts w:cstheme="minorHAnsi"/>
                <w:lang w:val="fr-FR"/>
              </w:rPr>
            </w:pPr>
            <w:r w:rsidRPr="00D32221">
              <w:rPr>
                <w:rFonts w:cstheme="minorHAnsi"/>
                <w:lang w:val="fr-FR"/>
              </w:rPr>
              <w:t>% de membres, affiliés et membres candidats qui produisent un rapport annuel</w:t>
            </w:r>
          </w:p>
          <w:p w:rsidR="00F974DD" w:rsidRPr="00D32221" w:rsidRDefault="00F974DD" w:rsidP="00F974DD">
            <w:pPr>
              <w:rPr>
                <w:rFonts w:cstheme="minorHAnsi"/>
                <w:lang w:val="fr-FR"/>
              </w:rPr>
            </w:pPr>
            <w:r w:rsidRPr="00D32221">
              <w:rPr>
                <w:rFonts w:cstheme="minorHAnsi"/>
                <w:lang w:val="fr-FR"/>
              </w:rPr>
              <w:t>% de bureaux de CARE répondant au critère 5.i</w:t>
            </w:r>
          </w:p>
          <w:p w:rsidR="000E7093" w:rsidRPr="007C3628" w:rsidRDefault="00F974DD" w:rsidP="00F974DD">
            <w:pPr>
              <w:pStyle w:val="HTMLPreformatted"/>
              <w:rPr>
                <w:rFonts w:cstheme="minorHAnsi"/>
                <w:lang w:val="fr-FR"/>
              </w:rPr>
            </w:pPr>
            <w:r w:rsidRPr="007C3628">
              <w:rPr>
                <w:rFonts w:asciiTheme="minorHAnsi" w:hAnsiTheme="minorHAnsi" w:cstheme="minorHAnsi"/>
                <w:lang w:val="fr-FR"/>
              </w:rPr>
              <w:t>[5.i Les programmes, projets et initiatives ont des mécanismes clairs pour recevoir des commentaires et garantir la participation, apporter des modifications et des améliorations en fon</w:t>
            </w:r>
            <w:r w:rsidR="000E7093" w:rsidRPr="007C3628">
              <w:rPr>
                <w:rFonts w:asciiTheme="minorHAnsi" w:hAnsiTheme="minorHAnsi" w:cstheme="minorHAnsi"/>
                <w:lang w:val="fr-FR"/>
              </w:rPr>
              <w:t>ction des commentaires reçus</w:t>
            </w:r>
            <w:r w:rsidR="007C3628" w:rsidRPr="007C3628">
              <w:rPr>
                <w:rFonts w:asciiTheme="minorHAnsi" w:hAnsiTheme="minorHAnsi" w:cstheme="minorHAnsi"/>
                <w:lang w:val="fr-FR"/>
              </w:rPr>
              <w:t xml:space="preserve"> et communiquer ces informations régulièrement, de manière transparente et accessible.]</w:t>
            </w:r>
          </w:p>
          <w:p w:rsidR="00F974DD" w:rsidRPr="00D32221" w:rsidRDefault="00F974DD" w:rsidP="00F974DD">
            <w:pPr>
              <w:pStyle w:val="HTMLPreformatted"/>
              <w:rPr>
                <w:rFonts w:asciiTheme="minorHAnsi" w:hAnsiTheme="minorHAnsi" w:cstheme="minorHAnsi"/>
                <w:sz w:val="22"/>
                <w:szCs w:val="22"/>
                <w:lang w:val="fr-FR"/>
              </w:rPr>
            </w:pPr>
            <w:r w:rsidRPr="00D32221">
              <w:rPr>
                <w:rFonts w:asciiTheme="minorHAnsi" w:hAnsiTheme="minorHAnsi" w:cstheme="minorHAnsi"/>
                <w:sz w:val="22"/>
                <w:szCs w:val="22"/>
                <w:lang w:val="fr-FR"/>
              </w:rPr>
              <w:t>Marqueur de genre (PIIRS)</w:t>
            </w:r>
          </w:p>
          <w:p w:rsidR="00341167" w:rsidRPr="00D32221" w:rsidRDefault="007C3628" w:rsidP="00F974DD">
            <w:pPr>
              <w:pStyle w:val="HTMLPreformatted"/>
              <w:rPr>
                <w:rFonts w:asciiTheme="minorHAnsi" w:hAnsiTheme="minorHAnsi" w:cstheme="minorHAnsi"/>
                <w:sz w:val="22"/>
                <w:szCs w:val="22"/>
                <w:lang w:val="fr-FR"/>
              </w:rPr>
            </w:pPr>
            <w:r>
              <w:rPr>
                <w:rFonts w:asciiTheme="minorHAnsi" w:hAnsiTheme="minorHAnsi" w:cstheme="minorHAnsi"/>
                <w:sz w:val="22"/>
                <w:szCs w:val="22"/>
                <w:lang w:val="fr-FR"/>
              </w:rPr>
              <w:t>Rapports individuels</w:t>
            </w:r>
          </w:p>
        </w:tc>
      </w:tr>
    </w:tbl>
    <w:p w:rsidR="007C3628" w:rsidRDefault="007C3628">
      <w:r>
        <w:br w:type="page"/>
      </w:r>
    </w:p>
    <w:tbl>
      <w:tblPr>
        <w:tblStyle w:val="TableGrid"/>
        <w:tblW w:w="0" w:type="auto"/>
        <w:tblLook w:val="04A0" w:firstRow="1" w:lastRow="0" w:firstColumn="1" w:lastColumn="0" w:noHBand="0" w:noVBand="1"/>
      </w:tblPr>
      <w:tblGrid>
        <w:gridCol w:w="4390"/>
        <w:gridCol w:w="2268"/>
        <w:gridCol w:w="7229"/>
      </w:tblGrid>
      <w:tr w:rsidR="00341167" w:rsidRPr="00D32221" w:rsidTr="00743265">
        <w:tc>
          <w:tcPr>
            <w:tcW w:w="4390" w:type="dxa"/>
          </w:tcPr>
          <w:p w:rsidR="00341167" w:rsidRPr="00D32221" w:rsidRDefault="00743265" w:rsidP="00D05DA7">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lastRenderedPageBreak/>
              <w:t>Prendre des mesures pour prévenir et répondre à toutes les formes de harcèlement sexuel et de violence, ainsi qu'à l'exploitation et aux abus sexuels des enfants et des adultes vulnérables. Promouvoir la connaissance et la formation du personnel et des systèmes efficaces pour informer et surveiller.</w:t>
            </w:r>
          </w:p>
        </w:tc>
        <w:tc>
          <w:tcPr>
            <w:tcW w:w="2268" w:type="dxa"/>
          </w:tcPr>
          <w:p w:rsidR="00341167" w:rsidRPr="00D32221" w:rsidRDefault="00D32221" w:rsidP="00D32221">
            <w:pPr>
              <w:rPr>
                <w:rFonts w:cstheme="minorHAnsi"/>
                <w:lang w:val="fr-FR"/>
              </w:rPr>
            </w:pPr>
            <w:r w:rsidRPr="00D32221">
              <w:rPr>
                <w:rFonts w:cstheme="minorHAnsi"/>
                <w:lang w:val="fr-FR"/>
              </w:rPr>
              <w:t>Redevabilité  vis</w:t>
            </w:r>
            <w:r w:rsidR="00235A10">
              <w:rPr>
                <w:rFonts w:cstheme="minorHAnsi"/>
                <w:lang w:val="fr-FR"/>
              </w:rPr>
              <w:t>-</w:t>
            </w:r>
            <w:r w:rsidRPr="00D32221">
              <w:rPr>
                <w:rFonts w:cstheme="minorHAnsi"/>
                <w:lang w:val="fr-FR"/>
              </w:rPr>
              <w:t xml:space="preserve"> </w:t>
            </w:r>
            <w:r w:rsidR="007C3628" w:rsidRPr="00D32221">
              <w:rPr>
                <w:rFonts w:cstheme="minorHAnsi"/>
                <w:lang w:val="fr-FR"/>
              </w:rPr>
              <w:t>à</w:t>
            </w:r>
            <w:r w:rsidR="00235A10">
              <w:rPr>
                <w:rFonts w:cstheme="minorHAnsi"/>
                <w:lang w:val="fr-FR"/>
              </w:rPr>
              <w:t>-</w:t>
            </w:r>
            <w:r w:rsidRPr="00D32221">
              <w:rPr>
                <w:rFonts w:cstheme="minorHAnsi"/>
                <w:lang w:val="fr-FR"/>
              </w:rPr>
              <w:t xml:space="preserve"> vis la politique PSEA de CI </w:t>
            </w:r>
          </w:p>
        </w:tc>
        <w:tc>
          <w:tcPr>
            <w:tcW w:w="7229" w:type="dxa"/>
          </w:tcPr>
          <w:p w:rsidR="00D459CB" w:rsidRPr="00D32221" w:rsidRDefault="007C3628" w:rsidP="00D32221">
            <w:pPr>
              <w:rPr>
                <w:rFonts w:cstheme="minorHAnsi"/>
                <w:lang w:val="fr-FR"/>
              </w:rPr>
            </w:pPr>
            <w:r>
              <w:rPr>
                <w:rFonts w:cstheme="minorHAnsi"/>
                <w:lang w:val="fr-FR"/>
              </w:rPr>
              <w:t>Rapports de r</w:t>
            </w:r>
            <w:r w:rsidR="00D32221" w:rsidRPr="00D32221">
              <w:rPr>
                <w:rFonts w:cstheme="minorHAnsi"/>
                <w:lang w:val="fr-FR"/>
              </w:rPr>
              <w:t>edevabilité PSEA</w:t>
            </w:r>
          </w:p>
        </w:tc>
      </w:tr>
      <w:tr w:rsidR="00341167" w:rsidRPr="00D32221" w:rsidTr="00743265">
        <w:tc>
          <w:tcPr>
            <w:tcW w:w="4390" w:type="dxa"/>
          </w:tcPr>
          <w:p w:rsidR="00743265" w:rsidRPr="00D32221" w:rsidRDefault="00743265" w:rsidP="00743265">
            <w:pPr>
              <w:pStyle w:val="ListParagraph"/>
              <w:numPr>
                <w:ilvl w:val="0"/>
                <w:numId w:val="3"/>
              </w:numPr>
              <w:spacing w:line="259" w:lineRule="auto"/>
              <w:rPr>
                <w:rFonts w:cstheme="minorHAnsi"/>
                <w:color w:val="212121"/>
                <w:sz w:val="22"/>
                <w:szCs w:val="22"/>
                <w:shd w:val="clear" w:color="auto" w:fill="FFFFFF"/>
                <w:lang w:val="fr-FR"/>
              </w:rPr>
            </w:pPr>
            <w:r w:rsidRPr="00D32221">
              <w:rPr>
                <w:rFonts w:cstheme="minorHAnsi"/>
                <w:color w:val="212121"/>
                <w:sz w:val="22"/>
                <w:szCs w:val="22"/>
                <w:shd w:val="clear" w:color="auto" w:fill="FFFFFF"/>
                <w:lang w:val="fr-FR"/>
              </w:rPr>
              <w:t xml:space="preserve">Veiller que le marketing, la collecte de fonds, le plaidoyer et la communication respectent notre engagement en faveur de la justice sociale et de l’égalité degenre. Cela comprend l'utilisation d'un langage et d'images inclusifs et positifs, évitant les stéréotypes et accordant une attention particulière aux questions de genre, de race et d'ethnicité. </w:t>
            </w:r>
          </w:p>
          <w:p w:rsidR="00341167" w:rsidRPr="00D32221" w:rsidRDefault="00341167" w:rsidP="00743265">
            <w:pPr>
              <w:pStyle w:val="ListParagraph"/>
              <w:ind w:left="360"/>
              <w:rPr>
                <w:rFonts w:cstheme="minorHAnsi"/>
                <w:sz w:val="22"/>
                <w:szCs w:val="22"/>
                <w:lang w:val="fr-FR"/>
              </w:rPr>
            </w:pPr>
          </w:p>
        </w:tc>
        <w:tc>
          <w:tcPr>
            <w:tcW w:w="2268" w:type="dxa"/>
          </w:tcPr>
          <w:p w:rsidR="00341167" w:rsidRPr="00D32221" w:rsidRDefault="00F974DD" w:rsidP="00F974DD">
            <w:pPr>
              <w:rPr>
                <w:rFonts w:cstheme="minorHAnsi"/>
                <w:lang w:val="fr-FR"/>
              </w:rPr>
            </w:pPr>
            <w:r w:rsidRPr="00D32221">
              <w:rPr>
                <w:rFonts w:cstheme="minorHAnsi"/>
                <w:lang w:val="fr-FR"/>
              </w:rPr>
              <w:t xml:space="preserve">Pas de source de données </w:t>
            </w:r>
          </w:p>
        </w:tc>
        <w:tc>
          <w:tcPr>
            <w:tcW w:w="7229" w:type="dxa"/>
          </w:tcPr>
          <w:p w:rsidR="00F974DD" w:rsidRPr="00D32221" w:rsidRDefault="00F974DD" w:rsidP="00F974DD">
            <w:pPr>
              <w:rPr>
                <w:rFonts w:cstheme="minorHAnsi"/>
                <w:lang w:val="fr-FR"/>
              </w:rPr>
            </w:pPr>
            <w:r w:rsidRPr="00D32221">
              <w:rPr>
                <w:rFonts w:cstheme="minorHAnsi"/>
                <w:lang w:val="fr-FR"/>
              </w:rPr>
              <w:t>% de personnes touchées par les campagnes marketing de CARE qui signalent que CARE utilise des images et un langage respectueux et positif</w:t>
            </w:r>
          </w:p>
          <w:p w:rsidR="00341167" w:rsidRPr="00D32221" w:rsidRDefault="00F974DD" w:rsidP="007C3628">
            <w:pPr>
              <w:rPr>
                <w:rFonts w:cstheme="minorHAnsi"/>
                <w:lang w:val="fr-FR"/>
              </w:rPr>
            </w:pPr>
            <w:r w:rsidRPr="00D32221">
              <w:rPr>
                <w:rFonts w:cstheme="minorHAnsi"/>
                <w:lang w:val="fr-FR"/>
              </w:rPr>
              <w:t>% de personnes touchées par les campagnes marketing de CARE qui signalent que CARE utilise des images et un langage négatif et / ou renforçant les stéréotypes</w:t>
            </w:r>
          </w:p>
        </w:tc>
      </w:tr>
      <w:tr w:rsidR="00341167" w:rsidRPr="00D32221" w:rsidTr="00743265">
        <w:tc>
          <w:tcPr>
            <w:tcW w:w="4390" w:type="dxa"/>
          </w:tcPr>
          <w:p w:rsidR="00341167" w:rsidRPr="00D32221" w:rsidRDefault="00743265" w:rsidP="00D05DA7">
            <w:pPr>
              <w:pStyle w:val="ListParagraph"/>
              <w:numPr>
                <w:ilvl w:val="0"/>
                <w:numId w:val="3"/>
              </w:numPr>
              <w:rPr>
                <w:rFonts w:cstheme="minorHAnsi"/>
                <w:sz w:val="22"/>
                <w:szCs w:val="22"/>
                <w:lang w:val="fr-FR"/>
              </w:rPr>
            </w:pPr>
            <w:r w:rsidRPr="00D32221">
              <w:rPr>
                <w:rFonts w:cstheme="minorHAnsi"/>
                <w:color w:val="212121"/>
                <w:sz w:val="22"/>
                <w:szCs w:val="22"/>
                <w:shd w:val="clear" w:color="auto" w:fill="FFFFFF"/>
                <w:lang w:val="fr-FR"/>
              </w:rPr>
              <w:t>Négocier avec les donateurs pour obtenir des fonds afin de respecter les engagements internationaux de CARE (actions « ne pas nuire », prévenir la violence sexiste, prévenir l'exploitation et les abus sexuels et promouvoir l'égalité de genre et la diversité organisationnelle - GED).</w:t>
            </w:r>
          </w:p>
        </w:tc>
        <w:tc>
          <w:tcPr>
            <w:tcW w:w="2268" w:type="dxa"/>
          </w:tcPr>
          <w:p w:rsidR="00341167" w:rsidRPr="00D32221" w:rsidRDefault="00F974DD" w:rsidP="008A7751">
            <w:pPr>
              <w:rPr>
                <w:rFonts w:cstheme="minorHAnsi"/>
                <w:lang w:val="fr-FR"/>
              </w:rPr>
            </w:pPr>
            <w:r w:rsidRPr="00D32221">
              <w:rPr>
                <w:rFonts w:cstheme="minorHAnsi"/>
                <w:lang w:val="fr-FR"/>
              </w:rPr>
              <w:t>Pas de source de données (potentiellement de données financières)</w:t>
            </w:r>
          </w:p>
        </w:tc>
        <w:tc>
          <w:tcPr>
            <w:tcW w:w="7229" w:type="dxa"/>
          </w:tcPr>
          <w:p w:rsidR="00341167" w:rsidRPr="00D32221" w:rsidRDefault="00F974DD" w:rsidP="00743265">
            <w:pPr>
              <w:rPr>
                <w:rFonts w:cstheme="minorHAnsi"/>
                <w:color w:val="ED7D31" w:themeColor="accent2"/>
                <w:lang w:val="fr-FR"/>
              </w:rPr>
            </w:pPr>
            <w:r w:rsidRPr="00D32221">
              <w:rPr>
                <w:rFonts w:cstheme="minorHAnsi"/>
                <w:lang w:val="fr-FR"/>
              </w:rPr>
              <w:t>% de projets avec une ligne budgétaire pour ré</w:t>
            </w:r>
            <w:r w:rsidR="007C3628">
              <w:rPr>
                <w:rFonts w:cstheme="minorHAnsi"/>
                <w:lang w:val="fr-FR"/>
              </w:rPr>
              <w:t>aliser les engagements de genre</w:t>
            </w:r>
          </w:p>
          <w:p w:rsidR="00341167" w:rsidRPr="00D32221" w:rsidRDefault="00341167" w:rsidP="00743265">
            <w:pPr>
              <w:rPr>
                <w:rFonts w:cstheme="minorHAnsi"/>
                <w:lang w:val="fr-FR"/>
              </w:rPr>
            </w:pPr>
          </w:p>
        </w:tc>
      </w:tr>
    </w:tbl>
    <w:p w:rsidR="004D69AC" w:rsidRPr="00D32221" w:rsidRDefault="004D69AC" w:rsidP="00743265">
      <w:pPr>
        <w:rPr>
          <w:rFonts w:cstheme="minorHAnsi"/>
          <w:color w:val="212121"/>
          <w:shd w:val="clear" w:color="auto" w:fill="FFFFFF"/>
          <w:lang w:val="fr-FR"/>
        </w:rPr>
      </w:pPr>
    </w:p>
    <w:sectPr w:rsidR="004D69AC" w:rsidRPr="00D32221" w:rsidSect="008A775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07" w:rsidRDefault="00BB5407" w:rsidP="003D0B93">
      <w:pPr>
        <w:spacing w:after="0" w:line="240" w:lineRule="auto"/>
      </w:pPr>
      <w:r>
        <w:separator/>
      </w:r>
    </w:p>
  </w:endnote>
  <w:endnote w:type="continuationSeparator" w:id="0">
    <w:p w:rsidR="00BB5407" w:rsidRDefault="00BB5407" w:rsidP="003D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2006"/>
      <w:docPartObj>
        <w:docPartGallery w:val="Page Numbers (Bottom of Page)"/>
        <w:docPartUnique/>
      </w:docPartObj>
    </w:sdtPr>
    <w:sdtEndPr>
      <w:rPr>
        <w:noProof/>
      </w:rPr>
    </w:sdtEndPr>
    <w:sdtContent>
      <w:p w:rsidR="00D32221" w:rsidRDefault="00D32221">
        <w:pPr>
          <w:pStyle w:val="Footer"/>
          <w:jc w:val="center"/>
        </w:pPr>
        <w:r>
          <w:fldChar w:fldCharType="begin"/>
        </w:r>
        <w:r>
          <w:instrText xml:space="preserve"> PAGE   \* MERGEFORMAT </w:instrText>
        </w:r>
        <w:r>
          <w:fldChar w:fldCharType="separate"/>
        </w:r>
        <w:r w:rsidR="00137479">
          <w:rPr>
            <w:noProof/>
          </w:rPr>
          <w:t>1</w:t>
        </w:r>
        <w:r>
          <w:rPr>
            <w:noProof/>
          </w:rPr>
          <w:fldChar w:fldCharType="end"/>
        </w:r>
      </w:p>
    </w:sdtContent>
  </w:sdt>
  <w:p w:rsidR="00D32221" w:rsidRDefault="00D32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07" w:rsidRDefault="00BB5407" w:rsidP="003D0B93">
      <w:pPr>
        <w:spacing w:after="0" w:line="240" w:lineRule="auto"/>
      </w:pPr>
      <w:r>
        <w:separator/>
      </w:r>
    </w:p>
  </w:footnote>
  <w:footnote w:type="continuationSeparator" w:id="0">
    <w:p w:rsidR="00BB5407" w:rsidRDefault="00BB5407" w:rsidP="003D0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23B"/>
    <w:multiLevelType w:val="hybridMultilevel"/>
    <w:tmpl w:val="06543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556EEC"/>
    <w:multiLevelType w:val="hybridMultilevel"/>
    <w:tmpl w:val="E4CC259E"/>
    <w:lvl w:ilvl="0" w:tplc="08090001">
      <w:start w:val="1"/>
      <w:numFmt w:val="bullet"/>
      <w:lvlText w:val=""/>
      <w:lvlJc w:val="left"/>
      <w:pPr>
        <w:tabs>
          <w:tab w:val="num" w:pos="567"/>
        </w:tabs>
        <w:ind w:left="567" w:hanging="567"/>
      </w:pPr>
      <w:rPr>
        <w:rFonts w:ascii="Symbol" w:hAnsi="Symbol" w:hint="default"/>
        <w:b/>
        <w:bCs/>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9B62F28">
      <w:start w:val="1"/>
      <w:numFmt w:val="decimal"/>
      <w:lvlText w:val="%4."/>
      <w:lvlJc w:val="left"/>
      <w:pPr>
        <w:ind w:left="252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E433EF"/>
    <w:multiLevelType w:val="hybridMultilevel"/>
    <w:tmpl w:val="51989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E173CA"/>
    <w:multiLevelType w:val="hybridMultilevel"/>
    <w:tmpl w:val="46B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sDS0NDO1sLQ0NLBQ0lEKTi0uzszPAykwqgUAotvqfSwAAAA="/>
  </w:docVars>
  <w:rsids>
    <w:rsidRoot w:val="00341167"/>
    <w:rsid w:val="000E7093"/>
    <w:rsid w:val="00137479"/>
    <w:rsid w:val="00235A10"/>
    <w:rsid w:val="00240104"/>
    <w:rsid w:val="002A0B7A"/>
    <w:rsid w:val="00302FF7"/>
    <w:rsid w:val="00335C50"/>
    <w:rsid w:val="00341167"/>
    <w:rsid w:val="00364E44"/>
    <w:rsid w:val="0039508A"/>
    <w:rsid w:val="003D0B93"/>
    <w:rsid w:val="004A43F6"/>
    <w:rsid w:val="004D69AC"/>
    <w:rsid w:val="005A08FC"/>
    <w:rsid w:val="00743265"/>
    <w:rsid w:val="007C2772"/>
    <w:rsid w:val="007C3628"/>
    <w:rsid w:val="008A7751"/>
    <w:rsid w:val="008D2B53"/>
    <w:rsid w:val="00920EF7"/>
    <w:rsid w:val="00982F91"/>
    <w:rsid w:val="009A643B"/>
    <w:rsid w:val="00A8507B"/>
    <w:rsid w:val="00BB5407"/>
    <w:rsid w:val="00D05DA7"/>
    <w:rsid w:val="00D32221"/>
    <w:rsid w:val="00D459CB"/>
    <w:rsid w:val="00E654FD"/>
    <w:rsid w:val="00E65EB0"/>
    <w:rsid w:val="00F15AE5"/>
    <w:rsid w:val="00F9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11840-0392-4253-92F0-4BBF0F86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4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41167"/>
    <w:rPr>
      <w:rFonts w:ascii="Courier New" w:eastAsia="Times New Roman" w:hAnsi="Courier New" w:cs="Courier New"/>
      <w:sz w:val="20"/>
      <w:szCs w:val="20"/>
      <w:lang w:eastAsia="en-GB"/>
    </w:rPr>
  </w:style>
  <w:style w:type="table" w:styleId="TableGrid">
    <w:name w:val="Table Grid"/>
    <w:basedOn w:val="TableNormal"/>
    <w:uiPriority w:val="39"/>
    <w:rsid w:val="0034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167"/>
    <w:rPr>
      <w:color w:val="0000FF"/>
      <w:u w:val="single"/>
    </w:rPr>
  </w:style>
  <w:style w:type="paragraph" w:styleId="ListParagraph">
    <w:name w:val="List Paragraph"/>
    <w:basedOn w:val="Normal"/>
    <w:uiPriority w:val="34"/>
    <w:qFormat/>
    <w:rsid w:val="00341167"/>
    <w:pPr>
      <w:spacing w:after="0" w:line="240" w:lineRule="auto"/>
      <w:ind w:left="720"/>
      <w:contextualSpacing/>
    </w:pPr>
    <w:rPr>
      <w:rFonts w:eastAsiaTheme="minorEastAsia"/>
      <w:sz w:val="24"/>
      <w:szCs w:val="24"/>
      <w:lang w:val="en-AU"/>
    </w:rPr>
  </w:style>
  <w:style w:type="paragraph" w:styleId="Header">
    <w:name w:val="header"/>
    <w:basedOn w:val="Normal"/>
    <w:link w:val="HeaderChar"/>
    <w:uiPriority w:val="99"/>
    <w:unhideWhenUsed/>
    <w:rsid w:val="003D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93"/>
  </w:style>
  <w:style w:type="paragraph" w:styleId="Footer">
    <w:name w:val="footer"/>
    <w:basedOn w:val="Normal"/>
    <w:link w:val="FooterChar"/>
    <w:uiPriority w:val="99"/>
    <w:unhideWhenUsed/>
    <w:rsid w:val="003D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93"/>
  </w:style>
  <w:style w:type="paragraph" w:styleId="FootnoteText">
    <w:name w:val="footnote text"/>
    <w:aliases w:val="ft,Footnote Text Char Char,Footnote Text Char1,Char"/>
    <w:basedOn w:val="Normal"/>
    <w:link w:val="FootnoteTextChar"/>
    <w:uiPriority w:val="99"/>
    <w:unhideWhenUsed/>
    <w:rsid w:val="004D69AC"/>
    <w:pPr>
      <w:spacing w:after="0" w:line="240" w:lineRule="auto"/>
    </w:pPr>
    <w:rPr>
      <w:sz w:val="20"/>
      <w:szCs w:val="20"/>
    </w:rPr>
  </w:style>
  <w:style w:type="character" w:customStyle="1" w:styleId="FootnoteTextChar">
    <w:name w:val="Footnote Text Char"/>
    <w:aliases w:val="ft Char,Footnote Text Char Char Char,Footnote Text Char1 Char,Char Char"/>
    <w:basedOn w:val="DefaultParagraphFont"/>
    <w:link w:val="FootnoteText"/>
    <w:uiPriority w:val="99"/>
    <w:rsid w:val="004D69AC"/>
    <w:rPr>
      <w:sz w:val="20"/>
      <w:szCs w:val="20"/>
    </w:rPr>
  </w:style>
  <w:style w:type="character" w:styleId="FootnoteReference">
    <w:name w:val="footnote reference"/>
    <w:aliases w:val="ftref,BVI fnr Char Char Char Char Char Char,BVI fnr Car Car Char Char Char Char Char Char,BVI fnr Car Char Char Char Char Char Char,BVI fnr Car Car Car Car Char Char Char Char Char Char Char Char Ch"/>
    <w:basedOn w:val="DefaultParagraphFont"/>
    <w:uiPriority w:val="99"/>
    <w:unhideWhenUsed/>
    <w:rsid w:val="004D6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8884">
      <w:bodyDiv w:val="1"/>
      <w:marLeft w:val="0"/>
      <w:marRight w:val="0"/>
      <w:marTop w:val="0"/>
      <w:marBottom w:val="0"/>
      <w:divBdr>
        <w:top w:val="none" w:sz="0" w:space="0" w:color="auto"/>
        <w:left w:val="none" w:sz="0" w:space="0" w:color="auto"/>
        <w:bottom w:val="none" w:sz="0" w:space="0" w:color="auto"/>
        <w:right w:val="none" w:sz="0" w:space="0" w:color="auto"/>
      </w:divBdr>
      <w:divsChild>
        <w:div w:id="519780310">
          <w:marLeft w:val="0"/>
          <w:marRight w:val="0"/>
          <w:marTop w:val="0"/>
          <w:marBottom w:val="0"/>
          <w:divBdr>
            <w:top w:val="none" w:sz="0" w:space="0" w:color="auto"/>
            <w:left w:val="none" w:sz="0" w:space="0" w:color="auto"/>
            <w:bottom w:val="none" w:sz="0" w:space="0" w:color="auto"/>
            <w:right w:val="none" w:sz="0" w:space="0" w:color="auto"/>
          </w:divBdr>
          <w:divsChild>
            <w:div w:id="1622414812">
              <w:marLeft w:val="0"/>
              <w:marRight w:val="0"/>
              <w:marTop w:val="0"/>
              <w:marBottom w:val="0"/>
              <w:divBdr>
                <w:top w:val="none" w:sz="0" w:space="0" w:color="auto"/>
                <w:left w:val="none" w:sz="0" w:space="0" w:color="auto"/>
                <w:bottom w:val="none" w:sz="0" w:space="0" w:color="auto"/>
                <w:right w:val="none" w:sz="0" w:space="0" w:color="auto"/>
              </w:divBdr>
              <w:divsChild>
                <w:div w:id="1817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5260">
      <w:bodyDiv w:val="1"/>
      <w:marLeft w:val="0"/>
      <w:marRight w:val="0"/>
      <w:marTop w:val="0"/>
      <w:marBottom w:val="0"/>
      <w:divBdr>
        <w:top w:val="none" w:sz="0" w:space="0" w:color="auto"/>
        <w:left w:val="none" w:sz="0" w:space="0" w:color="auto"/>
        <w:bottom w:val="none" w:sz="0" w:space="0" w:color="auto"/>
        <w:right w:val="none" w:sz="0" w:space="0" w:color="auto"/>
      </w:divBdr>
      <w:divsChild>
        <w:div w:id="2022462401">
          <w:marLeft w:val="0"/>
          <w:marRight w:val="0"/>
          <w:marTop w:val="0"/>
          <w:marBottom w:val="0"/>
          <w:divBdr>
            <w:top w:val="none" w:sz="0" w:space="0" w:color="auto"/>
            <w:left w:val="none" w:sz="0" w:space="0" w:color="auto"/>
            <w:bottom w:val="none" w:sz="0" w:space="0" w:color="auto"/>
            <w:right w:val="none" w:sz="0" w:space="0" w:color="auto"/>
          </w:divBdr>
          <w:divsChild>
            <w:div w:id="769932022">
              <w:marLeft w:val="0"/>
              <w:marRight w:val="0"/>
              <w:marTop w:val="0"/>
              <w:marBottom w:val="0"/>
              <w:divBdr>
                <w:top w:val="none" w:sz="0" w:space="0" w:color="auto"/>
                <w:left w:val="none" w:sz="0" w:space="0" w:color="auto"/>
                <w:bottom w:val="none" w:sz="0" w:space="0" w:color="auto"/>
                <w:right w:val="none" w:sz="0" w:space="0" w:color="auto"/>
              </w:divBdr>
              <w:divsChild>
                <w:div w:id="11137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9567">
      <w:bodyDiv w:val="1"/>
      <w:marLeft w:val="0"/>
      <w:marRight w:val="0"/>
      <w:marTop w:val="0"/>
      <w:marBottom w:val="0"/>
      <w:divBdr>
        <w:top w:val="none" w:sz="0" w:space="0" w:color="auto"/>
        <w:left w:val="none" w:sz="0" w:space="0" w:color="auto"/>
        <w:bottom w:val="none" w:sz="0" w:space="0" w:color="auto"/>
        <w:right w:val="none" w:sz="0" w:space="0" w:color="auto"/>
      </w:divBdr>
    </w:div>
    <w:div w:id="1444151933">
      <w:bodyDiv w:val="1"/>
      <w:marLeft w:val="0"/>
      <w:marRight w:val="0"/>
      <w:marTop w:val="0"/>
      <w:marBottom w:val="0"/>
      <w:divBdr>
        <w:top w:val="none" w:sz="0" w:space="0" w:color="auto"/>
        <w:left w:val="none" w:sz="0" w:space="0" w:color="auto"/>
        <w:bottom w:val="none" w:sz="0" w:space="0" w:color="auto"/>
        <w:right w:val="none" w:sz="0" w:space="0" w:color="auto"/>
      </w:divBdr>
      <w:divsChild>
        <w:div w:id="1922252919">
          <w:marLeft w:val="0"/>
          <w:marRight w:val="0"/>
          <w:marTop w:val="0"/>
          <w:marBottom w:val="0"/>
          <w:divBdr>
            <w:top w:val="none" w:sz="0" w:space="0" w:color="auto"/>
            <w:left w:val="none" w:sz="0" w:space="0" w:color="auto"/>
            <w:bottom w:val="none" w:sz="0" w:space="0" w:color="auto"/>
            <w:right w:val="none" w:sz="0" w:space="0" w:color="auto"/>
          </w:divBdr>
          <w:divsChild>
            <w:div w:id="842822700">
              <w:marLeft w:val="0"/>
              <w:marRight w:val="60"/>
              <w:marTop w:val="0"/>
              <w:marBottom w:val="0"/>
              <w:divBdr>
                <w:top w:val="none" w:sz="0" w:space="0" w:color="auto"/>
                <w:left w:val="none" w:sz="0" w:space="0" w:color="auto"/>
                <w:bottom w:val="none" w:sz="0" w:space="0" w:color="auto"/>
                <w:right w:val="none" w:sz="0" w:space="0" w:color="auto"/>
              </w:divBdr>
              <w:divsChild>
                <w:div w:id="336158271">
                  <w:marLeft w:val="0"/>
                  <w:marRight w:val="0"/>
                  <w:marTop w:val="0"/>
                  <w:marBottom w:val="120"/>
                  <w:divBdr>
                    <w:top w:val="single" w:sz="6" w:space="0" w:color="C0C0C0"/>
                    <w:left w:val="single" w:sz="6" w:space="0" w:color="D9D9D9"/>
                    <w:bottom w:val="single" w:sz="6" w:space="0" w:color="D9D9D9"/>
                    <w:right w:val="single" w:sz="6" w:space="0" w:color="D9D9D9"/>
                  </w:divBdr>
                  <w:divsChild>
                    <w:div w:id="2132941622">
                      <w:marLeft w:val="0"/>
                      <w:marRight w:val="0"/>
                      <w:marTop w:val="0"/>
                      <w:marBottom w:val="0"/>
                      <w:divBdr>
                        <w:top w:val="none" w:sz="0" w:space="0" w:color="auto"/>
                        <w:left w:val="none" w:sz="0" w:space="0" w:color="auto"/>
                        <w:bottom w:val="none" w:sz="0" w:space="0" w:color="auto"/>
                        <w:right w:val="none" w:sz="0" w:space="0" w:color="auto"/>
                      </w:divBdr>
                    </w:div>
                    <w:div w:id="664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4518">
          <w:marLeft w:val="0"/>
          <w:marRight w:val="0"/>
          <w:marTop w:val="0"/>
          <w:marBottom w:val="0"/>
          <w:divBdr>
            <w:top w:val="none" w:sz="0" w:space="0" w:color="auto"/>
            <w:left w:val="none" w:sz="0" w:space="0" w:color="auto"/>
            <w:bottom w:val="none" w:sz="0" w:space="0" w:color="auto"/>
            <w:right w:val="none" w:sz="0" w:space="0" w:color="auto"/>
          </w:divBdr>
          <w:divsChild>
            <w:div w:id="703218203">
              <w:marLeft w:val="60"/>
              <w:marRight w:val="0"/>
              <w:marTop w:val="0"/>
              <w:marBottom w:val="0"/>
              <w:divBdr>
                <w:top w:val="none" w:sz="0" w:space="0" w:color="auto"/>
                <w:left w:val="none" w:sz="0" w:space="0" w:color="auto"/>
                <w:bottom w:val="none" w:sz="0" w:space="0" w:color="auto"/>
                <w:right w:val="none" w:sz="0" w:space="0" w:color="auto"/>
              </w:divBdr>
              <w:divsChild>
                <w:div w:id="1208102756">
                  <w:marLeft w:val="0"/>
                  <w:marRight w:val="0"/>
                  <w:marTop w:val="0"/>
                  <w:marBottom w:val="0"/>
                  <w:divBdr>
                    <w:top w:val="none" w:sz="0" w:space="0" w:color="auto"/>
                    <w:left w:val="none" w:sz="0" w:space="0" w:color="auto"/>
                    <w:bottom w:val="none" w:sz="0" w:space="0" w:color="auto"/>
                    <w:right w:val="none" w:sz="0" w:space="0" w:color="auto"/>
                  </w:divBdr>
                  <w:divsChild>
                    <w:div w:id="785581372">
                      <w:marLeft w:val="0"/>
                      <w:marRight w:val="0"/>
                      <w:marTop w:val="0"/>
                      <w:marBottom w:val="120"/>
                      <w:divBdr>
                        <w:top w:val="single" w:sz="6" w:space="0" w:color="F5F5F5"/>
                        <w:left w:val="single" w:sz="6" w:space="0" w:color="F5F5F5"/>
                        <w:bottom w:val="single" w:sz="6" w:space="0" w:color="F5F5F5"/>
                        <w:right w:val="single" w:sz="6" w:space="0" w:color="F5F5F5"/>
                      </w:divBdr>
                      <w:divsChild>
                        <w:div w:id="1615404836">
                          <w:marLeft w:val="0"/>
                          <w:marRight w:val="0"/>
                          <w:marTop w:val="0"/>
                          <w:marBottom w:val="0"/>
                          <w:divBdr>
                            <w:top w:val="none" w:sz="0" w:space="0" w:color="auto"/>
                            <w:left w:val="none" w:sz="0" w:space="0" w:color="auto"/>
                            <w:bottom w:val="none" w:sz="0" w:space="0" w:color="auto"/>
                            <w:right w:val="none" w:sz="0" w:space="0" w:color="auto"/>
                          </w:divBdr>
                          <w:divsChild>
                            <w:div w:id="9747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3753">
      <w:bodyDiv w:val="1"/>
      <w:marLeft w:val="0"/>
      <w:marRight w:val="0"/>
      <w:marTop w:val="0"/>
      <w:marBottom w:val="0"/>
      <w:divBdr>
        <w:top w:val="none" w:sz="0" w:space="0" w:color="auto"/>
        <w:left w:val="none" w:sz="0" w:space="0" w:color="auto"/>
        <w:bottom w:val="none" w:sz="0" w:space="0" w:color="auto"/>
        <w:right w:val="none" w:sz="0" w:space="0" w:color="auto"/>
      </w:divBdr>
    </w:div>
    <w:div w:id="1689062386">
      <w:bodyDiv w:val="1"/>
      <w:marLeft w:val="0"/>
      <w:marRight w:val="0"/>
      <w:marTop w:val="0"/>
      <w:marBottom w:val="0"/>
      <w:divBdr>
        <w:top w:val="none" w:sz="0" w:space="0" w:color="auto"/>
        <w:left w:val="none" w:sz="0" w:space="0" w:color="auto"/>
        <w:bottom w:val="none" w:sz="0" w:space="0" w:color="auto"/>
        <w:right w:val="none" w:sz="0" w:space="0" w:color="auto"/>
      </w:divBdr>
      <w:divsChild>
        <w:div w:id="105003194">
          <w:marLeft w:val="0"/>
          <w:marRight w:val="0"/>
          <w:marTop w:val="0"/>
          <w:marBottom w:val="0"/>
          <w:divBdr>
            <w:top w:val="none" w:sz="0" w:space="0" w:color="auto"/>
            <w:left w:val="none" w:sz="0" w:space="0" w:color="auto"/>
            <w:bottom w:val="none" w:sz="0" w:space="0" w:color="auto"/>
            <w:right w:val="none" w:sz="0" w:space="0" w:color="auto"/>
          </w:divBdr>
          <w:divsChild>
            <w:div w:id="609747952">
              <w:marLeft w:val="0"/>
              <w:marRight w:val="60"/>
              <w:marTop w:val="0"/>
              <w:marBottom w:val="0"/>
              <w:divBdr>
                <w:top w:val="none" w:sz="0" w:space="0" w:color="auto"/>
                <w:left w:val="none" w:sz="0" w:space="0" w:color="auto"/>
                <w:bottom w:val="none" w:sz="0" w:space="0" w:color="auto"/>
                <w:right w:val="none" w:sz="0" w:space="0" w:color="auto"/>
              </w:divBdr>
              <w:divsChild>
                <w:div w:id="307784429">
                  <w:marLeft w:val="0"/>
                  <w:marRight w:val="0"/>
                  <w:marTop w:val="0"/>
                  <w:marBottom w:val="120"/>
                  <w:divBdr>
                    <w:top w:val="single" w:sz="6" w:space="0" w:color="C0C0C0"/>
                    <w:left w:val="single" w:sz="6" w:space="0" w:color="D9D9D9"/>
                    <w:bottom w:val="single" w:sz="6" w:space="0" w:color="D9D9D9"/>
                    <w:right w:val="single" w:sz="6" w:space="0" w:color="D9D9D9"/>
                  </w:divBdr>
                  <w:divsChild>
                    <w:div w:id="1224751588">
                      <w:marLeft w:val="0"/>
                      <w:marRight w:val="0"/>
                      <w:marTop w:val="0"/>
                      <w:marBottom w:val="0"/>
                      <w:divBdr>
                        <w:top w:val="none" w:sz="0" w:space="0" w:color="auto"/>
                        <w:left w:val="none" w:sz="0" w:space="0" w:color="auto"/>
                        <w:bottom w:val="none" w:sz="0" w:space="0" w:color="auto"/>
                        <w:right w:val="none" w:sz="0" w:space="0" w:color="auto"/>
                      </w:divBdr>
                    </w:div>
                    <w:div w:id="17126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1044">
          <w:marLeft w:val="0"/>
          <w:marRight w:val="0"/>
          <w:marTop w:val="0"/>
          <w:marBottom w:val="0"/>
          <w:divBdr>
            <w:top w:val="none" w:sz="0" w:space="0" w:color="auto"/>
            <w:left w:val="none" w:sz="0" w:space="0" w:color="auto"/>
            <w:bottom w:val="none" w:sz="0" w:space="0" w:color="auto"/>
            <w:right w:val="none" w:sz="0" w:space="0" w:color="auto"/>
          </w:divBdr>
          <w:divsChild>
            <w:div w:id="1292246477">
              <w:marLeft w:val="60"/>
              <w:marRight w:val="0"/>
              <w:marTop w:val="0"/>
              <w:marBottom w:val="0"/>
              <w:divBdr>
                <w:top w:val="none" w:sz="0" w:space="0" w:color="auto"/>
                <w:left w:val="none" w:sz="0" w:space="0" w:color="auto"/>
                <w:bottom w:val="none" w:sz="0" w:space="0" w:color="auto"/>
                <w:right w:val="none" w:sz="0" w:space="0" w:color="auto"/>
              </w:divBdr>
              <w:divsChild>
                <w:div w:id="1360353241">
                  <w:marLeft w:val="0"/>
                  <w:marRight w:val="0"/>
                  <w:marTop w:val="0"/>
                  <w:marBottom w:val="0"/>
                  <w:divBdr>
                    <w:top w:val="none" w:sz="0" w:space="0" w:color="auto"/>
                    <w:left w:val="none" w:sz="0" w:space="0" w:color="auto"/>
                    <w:bottom w:val="none" w:sz="0" w:space="0" w:color="auto"/>
                    <w:right w:val="none" w:sz="0" w:space="0" w:color="auto"/>
                  </w:divBdr>
                  <w:divsChild>
                    <w:div w:id="1169909195">
                      <w:marLeft w:val="0"/>
                      <w:marRight w:val="0"/>
                      <w:marTop w:val="0"/>
                      <w:marBottom w:val="120"/>
                      <w:divBdr>
                        <w:top w:val="single" w:sz="6" w:space="0" w:color="F5F5F5"/>
                        <w:left w:val="single" w:sz="6" w:space="0" w:color="F5F5F5"/>
                        <w:bottom w:val="single" w:sz="6" w:space="0" w:color="F5F5F5"/>
                        <w:right w:val="single" w:sz="6" w:space="0" w:color="F5F5F5"/>
                      </w:divBdr>
                      <w:divsChild>
                        <w:div w:id="1592346938">
                          <w:marLeft w:val="0"/>
                          <w:marRight w:val="0"/>
                          <w:marTop w:val="0"/>
                          <w:marBottom w:val="0"/>
                          <w:divBdr>
                            <w:top w:val="none" w:sz="0" w:space="0" w:color="auto"/>
                            <w:left w:val="none" w:sz="0" w:space="0" w:color="auto"/>
                            <w:bottom w:val="none" w:sz="0" w:space="0" w:color="auto"/>
                            <w:right w:val="none" w:sz="0" w:space="0" w:color="auto"/>
                          </w:divBdr>
                          <w:divsChild>
                            <w:div w:id="1064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249739">
      <w:bodyDiv w:val="1"/>
      <w:marLeft w:val="0"/>
      <w:marRight w:val="0"/>
      <w:marTop w:val="0"/>
      <w:marBottom w:val="0"/>
      <w:divBdr>
        <w:top w:val="none" w:sz="0" w:space="0" w:color="auto"/>
        <w:left w:val="none" w:sz="0" w:space="0" w:color="auto"/>
        <w:bottom w:val="none" w:sz="0" w:space="0" w:color="auto"/>
        <w:right w:val="none" w:sz="0" w:space="0" w:color="auto"/>
      </w:divBdr>
      <w:divsChild>
        <w:div w:id="2113427782">
          <w:marLeft w:val="0"/>
          <w:marRight w:val="0"/>
          <w:marTop w:val="0"/>
          <w:marBottom w:val="0"/>
          <w:divBdr>
            <w:top w:val="none" w:sz="0" w:space="0" w:color="auto"/>
            <w:left w:val="none" w:sz="0" w:space="0" w:color="auto"/>
            <w:bottom w:val="none" w:sz="0" w:space="0" w:color="auto"/>
            <w:right w:val="none" w:sz="0" w:space="0" w:color="auto"/>
          </w:divBdr>
          <w:divsChild>
            <w:div w:id="59135739">
              <w:marLeft w:val="0"/>
              <w:marRight w:val="0"/>
              <w:marTop w:val="0"/>
              <w:marBottom w:val="0"/>
              <w:divBdr>
                <w:top w:val="none" w:sz="0" w:space="0" w:color="auto"/>
                <w:left w:val="none" w:sz="0" w:space="0" w:color="auto"/>
                <w:bottom w:val="none" w:sz="0" w:space="0" w:color="auto"/>
                <w:right w:val="none" w:sz="0" w:space="0" w:color="auto"/>
              </w:divBdr>
              <w:divsChild>
                <w:div w:id="903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3733">
      <w:bodyDiv w:val="1"/>
      <w:marLeft w:val="0"/>
      <w:marRight w:val="0"/>
      <w:marTop w:val="0"/>
      <w:marBottom w:val="0"/>
      <w:divBdr>
        <w:top w:val="none" w:sz="0" w:space="0" w:color="auto"/>
        <w:left w:val="none" w:sz="0" w:space="0" w:color="auto"/>
        <w:bottom w:val="none" w:sz="0" w:space="0" w:color="auto"/>
        <w:right w:val="none" w:sz="0" w:space="0" w:color="auto"/>
      </w:divBdr>
    </w:div>
    <w:div w:id="2083063771">
      <w:bodyDiv w:val="1"/>
      <w:marLeft w:val="0"/>
      <w:marRight w:val="0"/>
      <w:marTop w:val="0"/>
      <w:marBottom w:val="0"/>
      <w:divBdr>
        <w:top w:val="none" w:sz="0" w:space="0" w:color="auto"/>
        <w:left w:val="none" w:sz="0" w:space="0" w:color="auto"/>
        <w:bottom w:val="none" w:sz="0" w:space="0" w:color="auto"/>
        <w:right w:val="none" w:sz="0" w:space="0" w:color="auto"/>
      </w:divBdr>
      <w:divsChild>
        <w:div w:id="619917328">
          <w:marLeft w:val="0"/>
          <w:marRight w:val="0"/>
          <w:marTop w:val="0"/>
          <w:marBottom w:val="0"/>
          <w:divBdr>
            <w:top w:val="none" w:sz="0" w:space="0" w:color="auto"/>
            <w:left w:val="none" w:sz="0" w:space="0" w:color="auto"/>
            <w:bottom w:val="none" w:sz="0" w:space="0" w:color="auto"/>
            <w:right w:val="none" w:sz="0" w:space="0" w:color="auto"/>
          </w:divBdr>
          <w:divsChild>
            <w:div w:id="223565964">
              <w:marLeft w:val="0"/>
              <w:marRight w:val="0"/>
              <w:marTop w:val="0"/>
              <w:marBottom w:val="0"/>
              <w:divBdr>
                <w:top w:val="none" w:sz="0" w:space="0" w:color="auto"/>
                <w:left w:val="none" w:sz="0" w:space="0" w:color="auto"/>
                <w:bottom w:val="none" w:sz="0" w:space="0" w:color="auto"/>
                <w:right w:val="none" w:sz="0" w:space="0" w:color="auto"/>
              </w:divBdr>
              <w:divsChild>
                <w:div w:id="2992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reevalu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Sprechmann, Sofia</dc:creator>
  <cp:keywords/>
  <dc:description/>
  <cp:lastModifiedBy>Boukare, Berenice</cp:lastModifiedBy>
  <cp:revision>2</cp:revision>
  <dcterms:created xsi:type="dcterms:W3CDTF">2019-01-21T16:19:00Z</dcterms:created>
  <dcterms:modified xsi:type="dcterms:W3CDTF">2019-01-21T16:19:00Z</dcterms:modified>
</cp:coreProperties>
</file>